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16CEB98">
      <w:pPr>
        <w:spacing w:line="600" w:lineRule="exact"/>
        <w:jc w:val="center"/>
        <w:outlineLvl w:val="0"/>
        <w:rPr>
          <w:rFonts w:eastAsia="方正小标宋简体"/>
          <w:color w:val="auto"/>
          <w:sz w:val="44"/>
          <w:szCs w:val="32"/>
          <w:highlight w:val="none"/>
        </w:rPr>
      </w:pPr>
      <w:r>
        <w:rPr>
          <w:rFonts w:eastAsia="方正小标宋简体"/>
          <w:color w:val="auto"/>
          <w:sz w:val="44"/>
          <w:szCs w:val="32"/>
          <w:highlight w:val="none"/>
        </w:rPr>
        <w:t>团体标准《自然资源综合监测监管外业技术规范》（征求意见稿）编制说明</w:t>
      </w:r>
    </w:p>
    <w:p w14:paraId="3AF719B4">
      <w:pPr>
        <w:autoSpaceDE w:val="0"/>
        <w:autoSpaceDN w:val="0"/>
        <w:adjustRightInd w:val="0"/>
        <w:spacing w:before="156" w:beforeLines="50" w:after="156" w:afterLines="50" w:line="560" w:lineRule="exact"/>
        <w:ind w:firstLine="640" w:firstLineChars="200"/>
        <w:jc w:val="left"/>
        <w:rPr>
          <w:rFonts w:eastAsia="黑体"/>
          <w:color w:val="auto"/>
          <w:sz w:val="32"/>
          <w:szCs w:val="32"/>
          <w:highlight w:val="none"/>
        </w:rPr>
      </w:pPr>
    </w:p>
    <w:p w14:paraId="3FD6CC40">
      <w:pPr>
        <w:autoSpaceDE w:val="0"/>
        <w:autoSpaceDN w:val="0"/>
        <w:adjustRightInd w:val="0"/>
        <w:spacing w:before="156" w:beforeLines="50" w:after="156" w:afterLines="50" w:line="560" w:lineRule="exact"/>
        <w:ind w:firstLine="640" w:firstLineChars="200"/>
        <w:jc w:val="left"/>
        <w:outlineLvl w:val="0"/>
        <w:rPr>
          <w:rFonts w:eastAsia="黑体"/>
          <w:color w:val="auto"/>
          <w:sz w:val="32"/>
          <w:szCs w:val="32"/>
          <w:highlight w:val="none"/>
        </w:rPr>
      </w:pPr>
      <w:r>
        <w:rPr>
          <w:rFonts w:eastAsia="黑体"/>
          <w:color w:val="auto"/>
          <w:sz w:val="32"/>
          <w:szCs w:val="32"/>
          <w:highlight w:val="none"/>
        </w:rPr>
        <w:t>一、项目来源</w:t>
      </w:r>
    </w:p>
    <w:p w14:paraId="358E55A8">
      <w:pPr>
        <w:spacing w:line="580" w:lineRule="exact"/>
        <w:ind w:firstLine="640" w:firstLineChars="200"/>
        <w:rPr>
          <w:rFonts w:eastAsia="仿宋_GB2312"/>
          <w:color w:val="auto"/>
          <w:sz w:val="32"/>
          <w:szCs w:val="28"/>
          <w:highlight w:val="none"/>
        </w:rPr>
      </w:pPr>
      <w:r>
        <w:rPr>
          <w:rFonts w:eastAsia="仿宋_GB2312"/>
          <w:color w:val="auto"/>
          <w:sz w:val="32"/>
          <w:szCs w:val="28"/>
          <w:highlight w:val="none"/>
        </w:rPr>
        <w:t>根据《广西标准化协会关于下达2024年第十九批团体标准制修订项目计划的通知》（桂标协〔2024〕138号）文件精神，由广西壮族自治区自然资源调查监测院提出，广西壮族自治区地图院、广西壮族自治区地理信息测绘院等单位共同起草的团体标准《自然资源综合监测监管外业技术规范》（项目编号：2024-1907）已获批立项。</w:t>
      </w:r>
    </w:p>
    <w:p w14:paraId="26562291">
      <w:pPr>
        <w:autoSpaceDE w:val="0"/>
        <w:autoSpaceDN w:val="0"/>
        <w:adjustRightInd w:val="0"/>
        <w:spacing w:before="156" w:beforeLines="50" w:after="156" w:afterLines="50" w:line="560" w:lineRule="exact"/>
        <w:ind w:firstLine="640" w:firstLineChars="200"/>
        <w:jc w:val="left"/>
        <w:outlineLvl w:val="0"/>
        <w:rPr>
          <w:rFonts w:eastAsia="黑体"/>
          <w:color w:val="auto"/>
          <w:sz w:val="32"/>
          <w:szCs w:val="32"/>
          <w:highlight w:val="none"/>
        </w:rPr>
      </w:pPr>
      <w:r>
        <w:rPr>
          <w:rFonts w:eastAsia="黑体"/>
          <w:color w:val="auto"/>
          <w:sz w:val="32"/>
          <w:szCs w:val="32"/>
          <w:highlight w:val="none"/>
        </w:rPr>
        <w:t>二、项目背景及目的意义</w:t>
      </w:r>
    </w:p>
    <w:p w14:paraId="5E9F0248">
      <w:pPr>
        <w:numPr>
          <w:ilvl w:val="255"/>
          <w:numId w:val="0"/>
        </w:numPr>
        <w:spacing w:line="580" w:lineRule="exact"/>
        <w:ind w:firstLine="640" w:firstLineChars="200"/>
        <w:jc w:val="left"/>
        <w:rPr>
          <w:rFonts w:eastAsia="仿宋_GB2312"/>
          <w:color w:val="auto"/>
          <w:sz w:val="32"/>
          <w:szCs w:val="32"/>
          <w:highlight w:val="none"/>
        </w:rPr>
      </w:pPr>
      <w:r>
        <w:rPr>
          <w:rFonts w:eastAsia="仿宋_GB2312"/>
          <w:color w:val="auto"/>
          <w:sz w:val="32"/>
          <w:szCs w:val="32"/>
          <w:highlight w:val="none"/>
        </w:rPr>
        <w:t>为全面贯彻落实党的十九届四中、五中全会精神和习近平关于自然资源管理工作的重要论述。切实履行自然资源“两统一”职责，加快建立自然资源统一调查、评价、监测制度。2020年1月自然资源部印发的《自然资源调查监测体系构建总体方案》（自然资发〔2020〕15号）确定了调查监测的对象、任务与要求，明确提出充分利用现代测量、信息网络以及空间探测等技术手段，构建起“天-空-地-网”为一体的自然资源调查监测技术体系，实现对自然资源全要素、全流程、全覆盖的现代化监管。围绕习近平总书记考察广西的重要讲话精神及广西自然资源“十四五”规划重点，2021年9月，广西自然资源厅印发的《广西自然资源综合监测监管实施方案》（桂自然资发〔2021〕63号）要求建立面向自然资源综合监测的“天空地人网”协同感知网，及时掌握自然资源变化情况，实现“早发现、早制止”的监测监管目标，为各级政府部门和社会公众提供及时便捷的自然资源应用服务</w:t>
      </w:r>
      <w:r>
        <w:rPr>
          <w:rFonts w:hint="eastAsia" w:eastAsia="仿宋_GB2312"/>
          <w:color w:val="auto"/>
          <w:sz w:val="32"/>
          <w:szCs w:val="32"/>
          <w:highlight w:val="none"/>
        </w:rPr>
        <w:t>。</w:t>
      </w:r>
    </w:p>
    <w:p w14:paraId="37A3A09A">
      <w:pPr>
        <w:numPr>
          <w:ilvl w:val="255"/>
          <w:numId w:val="0"/>
        </w:numPr>
        <w:spacing w:line="580" w:lineRule="exact"/>
        <w:ind w:firstLine="640" w:firstLineChars="200"/>
        <w:jc w:val="left"/>
        <w:rPr>
          <w:rFonts w:eastAsia="仿宋_GB2312"/>
          <w:color w:val="auto"/>
          <w:sz w:val="32"/>
          <w:szCs w:val="32"/>
          <w:highlight w:val="none"/>
        </w:rPr>
      </w:pPr>
      <w:r>
        <w:rPr>
          <w:rFonts w:eastAsia="仿宋_GB2312"/>
          <w:color w:val="auto"/>
          <w:sz w:val="32"/>
          <w:szCs w:val="32"/>
          <w:highlight w:val="none"/>
        </w:rPr>
        <w:t>自然资源综合监测监管</w:t>
      </w:r>
      <w:r>
        <w:rPr>
          <w:rFonts w:hint="eastAsia" w:eastAsia="仿宋_GB2312"/>
          <w:color w:val="auto"/>
          <w:sz w:val="32"/>
          <w:szCs w:val="32"/>
          <w:highlight w:val="none"/>
        </w:rPr>
        <w:t>作为</w:t>
      </w:r>
      <w:r>
        <w:rPr>
          <w:rFonts w:eastAsia="仿宋_GB2312"/>
          <w:color w:val="auto"/>
          <w:sz w:val="32"/>
          <w:szCs w:val="32"/>
          <w:highlight w:val="none"/>
        </w:rPr>
        <w:t>广西构建调查监测体系</w:t>
      </w:r>
      <w:r>
        <w:rPr>
          <w:rFonts w:hint="eastAsia" w:eastAsia="仿宋_GB2312"/>
          <w:color w:val="auto"/>
          <w:sz w:val="32"/>
          <w:szCs w:val="32"/>
          <w:highlight w:val="none"/>
        </w:rPr>
        <w:t>的</w:t>
      </w:r>
      <w:r>
        <w:rPr>
          <w:rFonts w:eastAsia="仿宋_GB2312"/>
          <w:color w:val="auto"/>
          <w:sz w:val="32"/>
          <w:szCs w:val="32"/>
          <w:highlight w:val="none"/>
        </w:rPr>
        <w:t>重要实践</w:t>
      </w:r>
      <w:r>
        <w:rPr>
          <w:rFonts w:hint="eastAsia" w:eastAsia="仿宋_GB2312"/>
          <w:color w:val="auto"/>
          <w:sz w:val="32"/>
          <w:szCs w:val="32"/>
          <w:highlight w:val="none"/>
        </w:rPr>
        <w:t>，外业调查是其关键的组成部分。随着新型基础测绘、定位系统、新一代数字等技术的发展，自然资源外业调查工作的统一化、规范化、高重复性应用的重要意义更加凸显，通过互联网技术实现图斑的导航、定位、方位点、拍摄方向、举证照片等，实时传输到监管平台，能精准掌握变化图斑的利用现状，更好的反映图斑的全貌信息，在自然资源部门多方向、多业务工作上都具有重大的意义，因此外业调查的要求与管理亟需规范化、标准化。</w:t>
      </w:r>
    </w:p>
    <w:p w14:paraId="40E0D467">
      <w:pPr>
        <w:numPr>
          <w:ilvl w:val="255"/>
          <w:numId w:val="0"/>
        </w:numPr>
        <w:spacing w:line="580" w:lineRule="exact"/>
        <w:ind w:firstLine="640" w:firstLineChars="200"/>
        <w:jc w:val="left"/>
        <w:rPr>
          <w:rFonts w:eastAsia="仿宋_GB2312"/>
          <w:color w:val="auto"/>
          <w:sz w:val="32"/>
          <w:szCs w:val="32"/>
          <w:highlight w:val="none"/>
        </w:rPr>
      </w:pPr>
      <w:r>
        <w:rPr>
          <w:rFonts w:eastAsia="仿宋_GB2312"/>
          <w:color w:val="auto"/>
          <w:sz w:val="32"/>
          <w:szCs w:val="32"/>
          <w:highlight w:val="none"/>
        </w:rPr>
        <w:t>通过制定团体标准《自然资源综合监测监管外业技术规范》，</w:t>
      </w:r>
      <w:r>
        <w:rPr>
          <w:rFonts w:eastAsia="仿宋_GB2312"/>
          <w:color w:val="auto"/>
          <w:sz w:val="32"/>
          <w:szCs w:val="28"/>
          <w:highlight w:val="none"/>
        </w:rPr>
        <w:t>以标准为抓手，统一规范自然资源综合监测监管外业的要求，将自然资源综合监测监管外业调查经验推广到区内各地，外业技术操作流程和数据处理都遵循一定的标准和规范，确保了数据的一致性和可靠性，</w:t>
      </w:r>
      <w:r>
        <w:rPr>
          <w:rFonts w:eastAsia="仿宋_GB2312"/>
          <w:color w:val="auto"/>
          <w:sz w:val="32"/>
          <w:szCs w:val="32"/>
          <w:highlight w:val="none"/>
        </w:rPr>
        <w:t>以实现“数据共享、一查多用”，对提升我区自然资源的调查监测水平、实现国土利用精细化管理、提高自然资源理能力等都具有十分重要的意义。</w:t>
      </w:r>
    </w:p>
    <w:p w14:paraId="1F685D04">
      <w:pPr>
        <w:autoSpaceDE w:val="0"/>
        <w:autoSpaceDN w:val="0"/>
        <w:adjustRightInd w:val="0"/>
        <w:spacing w:before="156" w:beforeLines="50" w:after="156" w:afterLines="50" w:line="560" w:lineRule="exact"/>
        <w:ind w:firstLine="640" w:firstLineChars="200"/>
        <w:jc w:val="left"/>
        <w:outlineLvl w:val="0"/>
        <w:rPr>
          <w:rFonts w:eastAsia="黑体"/>
          <w:color w:val="auto"/>
          <w:sz w:val="32"/>
          <w:szCs w:val="32"/>
          <w:highlight w:val="none"/>
        </w:rPr>
      </w:pPr>
      <w:r>
        <w:rPr>
          <w:rFonts w:eastAsia="黑体"/>
          <w:color w:val="auto"/>
          <w:sz w:val="32"/>
          <w:szCs w:val="32"/>
          <w:highlight w:val="none"/>
        </w:rPr>
        <w:t>三、项目编制过程</w:t>
      </w:r>
    </w:p>
    <w:p w14:paraId="1B8433B0">
      <w:pPr>
        <w:spacing w:before="156" w:beforeLines="50" w:after="156" w:afterLines="50" w:line="560" w:lineRule="exact"/>
        <w:ind w:firstLine="643" w:firstLineChars="200"/>
        <w:outlineLvl w:val="1"/>
        <w:rPr>
          <w:rFonts w:eastAsia="楷体"/>
          <w:color w:val="auto"/>
          <w:sz w:val="32"/>
          <w:szCs w:val="28"/>
          <w:highlight w:val="none"/>
        </w:rPr>
      </w:pPr>
      <w:r>
        <w:rPr>
          <w:rFonts w:eastAsia="楷体"/>
          <w:b/>
          <w:color w:val="auto"/>
          <w:sz w:val="32"/>
          <w:szCs w:val="28"/>
          <w:highlight w:val="none"/>
        </w:rPr>
        <w:t>（一）成立标准编制工作组</w:t>
      </w:r>
    </w:p>
    <w:p w14:paraId="7F6DD2AB">
      <w:pPr>
        <w:spacing w:line="580" w:lineRule="exact"/>
        <w:ind w:firstLine="640" w:firstLineChars="200"/>
        <w:rPr>
          <w:rFonts w:eastAsia="仿宋_GB2312"/>
          <w:color w:val="auto"/>
          <w:sz w:val="32"/>
          <w:szCs w:val="28"/>
          <w:highlight w:val="none"/>
        </w:rPr>
      </w:pPr>
      <w:r>
        <w:rPr>
          <w:rFonts w:eastAsia="仿宋_GB2312"/>
          <w:color w:val="auto"/>
          <w:sz w:val="32"/>
          <w:szCs w:val="28"/>
          <w:highlight w:val="none"/>
        </w:rPr>
        <w:t>团体标准《</w:t>
      </w:r>
      <w:r>
        <w:rPr>
          <w:rFonts w:eastAsia="仿宋_GB2312"/>
          <w:color w:val="auto"/>
          <w:sz w:val="32"/>
          <w:szCs w:val="32"/>
          <w:highlight w:val="none"/>
        </w:rPr>
        <w:t>自然资源综合监测监管外业技术规范</w:t>
      </w:r>
      <w:r>
        <w:rPr>
          <w:rFonts w:eastAsia="仿宋_GB2312"/>
          <w:color w:val="auto"/>
          <w:sz w:val="32"/>
          <w:szCs w:val="28"/>
          <w:highlight w:val="none"/>
        </w:rPr>
        <w:t>》项目任务下达后，广西壮族自治区自然资源调查监测院成立了标准编制工作组，起草单位制定了起草编写方案与进度安排，明确任务职责，确定工作技术路线，开展标准研制工作。具体标准编制工作由广西壮族自治区自然资源调查监测院、</w:t>
      </w:r>
      <w:r>
        <w:rPr>
          <w:rFonts w:eastAsia="仿宋_GB2312"/>
          <w:color w:val="auto"/>
          <w:sz w:val="32"/>
          <w:szCs w:val="32"/>
          <w:highlight w:val="none"/>
        </w:rPr>
        <w:t>广西壮族自治区地图院、广西壮族自治区地理信息测绘院</w:t>
      </w:r>
      <w:r>
        <w:rPr>
          <w:rFonts w:eastAsia="仿宋_GB2312"/>
          <w:color w:val="auto"/>
          <w:sz w:val="32"/>
          <w:szCs w:val="28"/>
          <w:highlight w:val="none"/>
        </w:rPr>
        <w:t>等单位负责人组成的标准编制工作组完成。</w:t>
      </w:r>
    </w:p>
    <w:p w14:paraId="14A02454">
      <w:pPr>
        <w:spacing w:line="580" w:lineRule="exact"/>
        <w:ind w:firstLine="640" w:firstLineChars="200"/>
        <w:rPr>
          <w:rFonts w:eastAsia="仿宋_GB2312"/>
          <w:color w:val="auto"/>
          <w:sz w:val="32"/>
          <w:szCs w:val="28"/>
          <w:highlight w:val="none"/>
        </w:rPr>
      </w:pPr>
      <w:r>
        <w:rPr>
          <w:rFonts w:eastAsia="仿宋_GB2312"/>
          <w:color w:val="auto"/>
          <w:sz w:val="32"/>
          <w:szCs w:val="28"/>
          <w:highlight w:val="none"/>
        </w:rPr>
        <w:t>编制工作组下设三个组，分别是资料收集组、草案编写组、标准实施组。</w:t>
      </w:r>
    </w:p>
    <w:p w14:paraId="328CF17D">
      <w:pPr>
        <w:spacing w:line="580" w:lineRule="exact"/>
        <w:ind w:firstLine="640" w:firstLineChars="200"/>
        <w:rPr>
          <w:rFonts w:eastAsia="仿宋_GB2312"/>
          <w:color w:val="auto"/>
          <w:sz w:val="32"/>
          <w:szCs w:val="28"/>
          <w:highlight w:val="none"/>
        </w:rPr>
      </w:pPr>
      <w:r>
        <w:rPr>
          <w:rFonts w:eastAsia="仿宋_GB2312"/>
          <w:color w:val="auto"/>
          <w:sz w:val="32"/>
          <w:szCs w:val="28"/>
          <w:highlight w:val="none"/>
        </w:rPr>
        <w:t>资料收集组负责国内外有关</w:t>
      </w:r>
      <w:r>
        <w:rPr>
          <w:rFonts w:eastAsia="仿宋_GB2312"/>
          <w:color w:val="auto"/>
          <w:sz w:val="32"/>
          <w:szCs w:val="32"/>
          <w:highlight w:val="none"/>
        </w:rPr>
        <w:t>自然资源综合监测监管外业技术</w:t>
      </w:r>
      <w:r>
        <w:rPr>
          <w:rFonts w:eastAsia="仿宋_GB2312"/>
          <w:color w:val="auto"/>
          <w:sz w:val="32"/>
          <w:szCs w:val="28"/>
          <w:highlight w:val="none"/>
        </w:rPr>
        <w:t>的文献资料的查询、收集和整理工作，查阅前人对</w:t>
      </w:r>
      <w:r>
        <w:rPr>
          <w:rFonts w:eastAsia="仿宋_GB2312"/>
          <w:color w:val="auto"/>
          <w:sz w:val="32"/>
          <w:szCs w:val="32"/>
          <w:highlight w:val="none"/>
        </w:rPr>
        <w:t>自然资源综合监测监管外业技术</w:t>
      </w:r>
      <w:r>
        <w:rPr>
          <w:rFonts w:eastAsia="仿宋_GB2312"/>
          <w:color w:val="auto"/>
          <w:sz w:val="32"/>
          <w:szCs w:val="28"/>
          <w:highlight w:val="none"/>
        </w:rPr>
        <w:t>的研究情况。</w:t>
      </w:r>
    </w:p>
    <w:p w14:paraId="4A30BF15">
      <w:pPr>
        <w:spacing w:line="580" w:lineRule="exact"/>
        <w:ind w:firstLine="640" w:firstLineChars="200"/>
        <w:rPr>
          <w:rFonts w:eastAsia="仿宋_GB2312"/>
          <w:color w:val="auto"/>
          <w:sz w:val="32"/>
          <w:szCs w:val="28"/>
          <w:highlight w:val="none"/>
        </w:rPr>
      </w:pPr>
      <w:r>
        <w:rPr>
          <w:rFonts w:eastAsia="仿宋_GB2312"/>
          <w:color w:val="auto"/>
          <w:sz w:val="32"/>
          <w:szCs w:val="28"/>
          <w:highlight w:val="none"/>
        </w:rPr>
        <w:t>草案编写组负责起草标准草案、征求意见稿和标准编制说明、送审稿及编制说明的编写工作，包括后期召开征求意见会、网上征求意见，以及标准的不断修改和完善。</w:t>
      </w:r>
    </w:p>
    <w:p w14:paraId="45330DFA">
      <w:pPr>
        <w:spacing w:line="580" w:lineRule="exact"/>
        <w:ind w:firstLine="640" w:firstLineChars="200"/>
        <w:rPr>
          <w:rFonts w:eastAsia="仿宋_GB2312"/>
          <w:color w:val="auto"/>
          <w:sz w:val="32"/>
          <w:szCs w:val="28"/>
          <w:highlight w:val="none"/>
        </w:rPr>
      </w:pPr>
      <w:r>
        <w:rPr>
          <w:rFonts w:eastAsia="仿宋_GB2312"/>
          <w:color w:val="auto"/>
          <w:sz w:val="32"/>
          <w:szCs w:val="28"/>
          <w:highlight w:val="none"/>
        </w:rPr>
        <w:t>标准实施组负责团体标准《</w:t>
      </w:r>
      <w:r>
        <w:rPr>
          <w:rFonts w:eastAsia="仿宋_GB2312"/>
          <w:color w:val="auto"/>
          <w:sz w:val="32"/>
          <w:szCs w:val="32"/>
          <w:highlight w:val="none"/>
        </w:rPr>
        <w:t>自然资源综合监测监管外业技术规范</w:t>
      </w:r>
      <w:r>
        <w:rPr>
          <w:rFonts w:eastAsia="仿宋_GB2312"/>
          <w:color w:val="auto"/>
          <w:sz w:val="32"/>
          <w:szCs w:val="28"/>
          <w:highlight w:val="none"/>
        </w:rPr>
        <w:t>》发布后，组织相关企事业单位开展标准宣贯培训会，对标准进行详细解读，让相关人员了解标准，并根据标准对</w:t>
      </w:r>
      <w:r>
        <w:rPr>
          <w:rFonts w:eastAsia="仿宋_GB2312"/>
          <w:color w:val="auto"/>
          <w:sz w:val="32"/>
          <w:szCs w:val="32"/>
          <w:highlight w:val="none"/>
        </w:rPr>
        <w:t>自然资源综合监测监管外业技术</w:t>
      </w:r>
      <w:r>
        <w:rPr>
          <w:rFonts w:eastAsia="仿宋_GB2312"/>
          <w:color w:val="auto"/>
          <w:sz w:val="32"/>
          <w:szCs w:val="28"/>
          <w:highlight w:val="none"/>
        </w:rPr>
        <w:t>进行规范化操作，并对标准实施情况进行总结分析，不断对团体标准提出修正意见。</w:t>
      </w:r>
    </w:p>
    <w:p w14:paraId="6A460143">
      <w:pPr>
        <w:spacing w:before="156" w:beforeLines="50" w:after="156" w:afterLines="50" w:line="560" w:lineRule="exact"/>
        <w:ind w:firstLine="643" w:firstLineChars="200"/>
        <w:outlineLvl w:val="1"/>
        <w:rPr>
          <w:rFonts w:eastAsia="楷体"/>
          <w:b/>
          <w:color w:val="auto"/>
          <w:sz w:val="32"/>
          <w:szCs w:val="28"/>
          <w:highlight w:val="none"/>
        </w:rPr>
      </w:pPr>
      <w:r>
        <w:rPr>
          <w:rFonts w:eastAsia="楷体"/>
          <w:b/>
          <w:color w:val="auto"/>
          <w:sz w:val="32"/>
          <w:szCs w:val="28"/>
          <w:highlight w:val="none"/>
        </w:rPr>
        <w:t>（二）收集整理文献资料</w:t>
      </w:r>
    </w:p>
    <w:p w14:paraId="2A6B7FF9">
      <w:pPr>
        <w:spacing w:line="580" w:lineRule="exact"/>
        <w:ind w:firstLine="640" w:firstLineChars="200"/>
        <w:rPr>
          <w:rFonts w:eastAsia="仿宋_GB2312"/>
          <w:color w:val="auto"/>
          <w:sz w:val="32"/>
          <w:szCs w:val="28"/>
          <w:highlight w:val="none"/>
          <w:lang w:val="fr-FR"/>
        </w:rPr>
      </w:pPr>
      <w:r>
        <w:rPr>
          <w:rFonts w:eastAsia="仿宋_GB2312"/>
          <w:color w:val="auto"/>
          <w:sz w:val="32"/>
          <w:szCs w:val="28"/>
          <w:highlight w:val="none"/>
        </w:rPr>
        <w:t>标准编制工作组收集了国内有关</w:t>
      </w:r>
      <w:r>
        <w:rPr>
          <w:rFonts w:eastAsia="仿宋_GB2312"/>
          <w:color w:val="auto"/>
          <w:sz w:val="32"/>
          <w:szCs w:val="32"/>
          <w:highlight w:val="none"/>
        </w:rPr>
        <w:t>自然资源综合监测监管外业技术</w:t>
      </w:r>
      <w:r>
        <w:rPr>
          <w:rFonts w:eastAsia="仿宋_GB2312"/>
          <w:color w:val="auto"/>
          <w:sz w:val="32"/>
          <w:szCs w:val="28"/>
          <w:highlight w:val="none"/>
        </w:rPr>
        <w:t>相关文献资料。主要有</w:t>
      </w:r>
      <w:r>
        <w:rPr>
          <w:rFonts w:eastAsia="仿宋_GB2312"/>
          <w:color w:val="auto"/>
          <w:sz w:val="32"/>
          <w:szCs w:val="28"/>
          <w:highlight w:val="none"/>
          <w:lang w:val="fr-FR"/>
        </w:rPr>
        <w:t>：</w:t>
      </w:r>
    </w:p>
    <w:p w14:paraId="0D860EB9">
      <w:pPr>
        <w:spacing w:line="580" w:lineRule="exact"/>
        <w:ind w:firstLine="640" w:firstLineChars="200"/>
        <w:rPr>
          <w:rFonts w:eastAsia="仿宋_GB2312"/>
          <w:color w:val="auto"/>
          <w:sz w:val="32"/>
          <w:szCs w:val="28"/>
          <w:highlight w:val="none"/>
        </w:rPr>
      </w:pPr>
      <w:r>
        <w:rPr>
          <w:rFonts w:eastAsia="仿宋_GB2312"/>
          <w:color w:val="auto"/>
          <w:sz w:val="32"/>
          <w:szCs w:val="28"/>
          <w:highlight w:val="none"/>
        </w:rPr>
        <w:t>GB/T 21010-2017 土地利用现状分类</w:t>
      </w:r>
    </w:p>
    <w:p w14:paraId="750B3272">
      <w:pPr>
        <w:spacing w:line="580" w:lineRule="exact"/>
        <w:ind w:firstLine="640" w:firstLineChars="200"/>
        <w:rPr>
          <w:rFonts w:hint="default" w:eastAsia="仿宋_GB2312"/>
          <w:color w:val="auto"/>
          <w:sz w:val="32"/>
          <w:szCs w:val="28"/>
          <w:highlight w:val="none"/>
        </w:rPr>
      </w:pPr>
      <w:r>
        <w:rPr>
          <w:rFonts w:hint="default" w:eastAsia="仿宋_GB2312"/>
          <w:color w:val="auto"/>
          <w:sz w:val="32"/>
          <w:szCs w:val="28"/>
          <w:highlight w:val="none"/>
        </w:rPr>
        <w:t>GB/T 17159-2009</w:t>
      </w:r>
      <w:r>
        <w:rPr>
          <w:rFonts w:eastAsia="仿宋_GB2312"/>
          <w:color w:val="auto"/>
          <w:sz w:val="32"/>
          <w:szCs w:val="28"/>
          <w:highlight w:val="none"/>
        </w:rPr>
        <w:t xml:space="preserve"> </w:t>
      </w:r>
      <w:r>
        <w:rPr>
          <w:rFonts w:hint="default" w:eastAsia="仿宋_GB2312"/>
          <w:color w:val="auto"/>
          <w:sz w:val="32"/>
          <w:szCs w:val="28"/>
          <w:highlight w:val="none"/>
        </w:rPr>
        <w:t>大地测量术语</w:t>
      </w:r>
    </w:p>
    <w:p w14:paraId="431CCAD2">
      <w:pPr>
        <w:spacing w:line="580" w:lineRule="exact"/>
        <w:ind w:firstLine="640" w:firstLineChars="200"/>
        <w:rPr>
          <w:rFonts w:eastAsia="仿宋_GB2312"/>
          <w:color w:val="auto"/>
          <w:sz w:val="32"/>
          <w:szCs w:val="28"/>
          <w:highlight w:val="none"/>
        </w:rPr>
      </w:pPr>
      <w:r>
        <w:rPr>
          <w:rFonts w:eastAsia="仿宋_GB2312"/>
          <w:color w:val="auto"/>
          <w:sz w:val="32"/>
          <w:szCs w:val="28"/>
          <w:highlight w:val="none"/>
        </w:rPr>
        <w:t>GB/T 18316-2008</w:t>
      </w:r>
      <w:r>
        <w:rPr>
          <w:rFonts w:hint="eastAsia" w:eastAsia="仿宋_GB2312"/>
          <w:color w:val="auto"/>
          <w:sz w:val="32"/>
          <w:szCs w:val="28"/>
          <w:highlight w:val="none"/>
        </w:rPr>
        <w:t xml:space="preserve"> </w:t>
      </w:r>
      <w:r>
        <w:rPr>
          <w:rFonts w:eastAsia="仿宋_GB2312"/>
          <w:color w:val="auto"/>
          <w:sz w:val="32"/>
          <w:szCs w:val="28"/>
          <w:highlight w:val="none"/>
        </w:rPr>
        <w:t>数字测绘成果质量检查与验收</w:t>
      </w:r>
    </w:p>
    <w:p w14:paraId="5F07149C">
      <w:pPr>
        <w:spacing w:line="580" w:lineRule="exact"/>
        <w:ind w:firstLine="640" w:firstLineChars="200"/>
        <w:rPr>
          <w:color w:val="auto"/>
          <w:highlight w:val="none"/>
        </w:rPr>
      </w:pPr>
      <w:r>
        <w:rPr>
          <w:rFonts w:eastAsia="仿宋_GB2312"/>
          <w:color w:val="auto"/>
          <w:sz w:val="32"/>
          <w:szCs w:val="32"/>
          <w:highlight w:val="none"/>
        </w:rPr>
        <w:t>TD/T 1010-2015</w:t>
      </w:r>
      <w:r>
        <w:rPr>
          <w:rFonts w:hint="eastAsia" w:eastAsia="仿宋_GB2312"/>
          <w:color w:val="auto"/>
          <w:sz w:val="32"/>
          <w:szCs w:val="32"/>
          <w:highlight w:val="none"/>
        </w:rPr>
        <w:t xml:space="preserve"> </w:t>
      </w:r>
      <w:r>
        <w:rPr>
          <w:rFonts w:eastAsia="仿宋_GB2312"/>
          <w:color w:val="auto"/>
          <w:sz w:val="32"/>
          <w:szCs w:val="32"/>
          <w:highlight w:val="none"/>
        </w:rPr>
        <w:t>土地利用动态遥感监测规程</w:t>
      </w:r>
    </w:p>
    <w:p w14:paraId="17501ABC">
      <w:pPr>
        <w:spacing w:line="580" w:lineRule="exact"/>
        <w:ind w:firstLine="640" w:firstLineChars="200"/>
        <w:rPr>
          <w:rFonts w:eastAsia="仿宋_GB2312"/>
          <w:color w:val="auto"/>
          <w:sz w:val="32"/>
          <w:szCs w:val="28"/>
          <w:highlight w:val="none"/>
        </w:rPr>
      </w:pPr>
      <w:r>
        <w:rPr>
          <w:rFonts w:eastAsia="仿宋_GB2312"/>
          <w:color w:val="auto"/>
          <w:sz w:val="32"/>
          <w:szCs w:val="28"/>
          <w:highlight w:val="none"/>
        </w:rPr>
        <w:t>TD/T 1055-2019 第三次全国国土调查技术规程</w:t>
      </w:r>
    </w:p>
    <w:p w14:paraId="49B3C11F">
      <w:pPr>
        <w:spacing w:line="580" w:lineRule="exact"/>
        <w:ind w:firstLine="640" w:firstLineChars="200"/>
        <w:rPr>
          <w:rFonts w:eastAsia="仿宋_GB2312"/>
          <w:color w:val="auto"/>
          <w:sz w:val="32"/>
          <w:szCs w:val="32"/>
          <w:highlight w:val="none"/>
        </w:rPr>
      </w:pPr>
      <w:r>
        <w:rPr>
          <w:rFonts w:eastAsia="仿宋_GB2312"/>
          <w:color w:val="auto"/>
          <w:sz w:val="32"/>
          <w:szCs w:val="32"/>
          <w:highlight w:val="none"/>
        </w:rPr>
        <w:t>T/GXAS 812-2024 田长巡管理系统外业调查数据包生成规范</w:t>
      </w:r>
    </w:p>
    <w:p w14:paraId="51A4D188">
      <w:pPr>
        <w:spacing w:line="580" w:lineRule="exact"/>
        <w:ind w:firstLine="640" w:firstLineChars="200"/>
        <w:rPr>
          <w:rFonts w:eastAsia="仿宋_GB2312"/>
          <w:color w:val="auto"/>
          <w:sz w:val="32"/>
          <w:szCs w:val="32"/>
          <w:highlight w:val="none"/>
        </w:rPr>
      </w:pPr>
      <w:r>
        <w:rPr>
          <w:rFonts w:eastAsia="仿宋_GB2312"/>
          <w:color w:val="auto"/>
          <w:sz w:val="32"/>
          <w:szCs w:val="32"/>
          <w:highlight w:val="none"/>
        </w:rPr>
        <w:t>[1]董胜光,肖海,唐芝青,等.自然资源“天空地网”综合监测体系构建探索与实践[J].环境监测管理与技术,2023,35(06):5-9.DOI:10.19501/j.cnki.1006-2009.2023.06.013.</w:t>
      </w:r>
    </w:p>
    <w:p w14:paraId="6ADE6F1B">
      <w:pPr>
        <w:spacing w:line="580" w:lineRule="exact"/>
        <w:ind w:firstLine="640" w:firstLineChars="200"/>
        <w:rPr>
          <w:rFonts w:eastAsia="仿宋_GB2312"/>
          <w:color w:val="auto"/>
          <w:sz w:val="32"/>
          <w:szCs w:val="32"/>
          <w:highlight w:val="none"/>
        </w:rPr>
      </w:pPr>
      <w:r>
        <w:rPr>
          <w:rFonts w:hint="eastAsia" w:eastAsia="仿宋_GB2312"/>
          <w:color w:val="auto"/>
          <w:sz w:val="32"/>
          <w:szCs w:val="32"/>
          <w:highlight w:val="none"/>
        </w:rPr>
        <w:t>[2]</w:t>
      </w:r>
      <w:r>
        <w:rPr>
          <w:rFonts w:eastAsia="仿宋_GB2312"/>
          <w:color w:val="auto"/>
          <w:sz w:val="32"/>
          <w:szCs w:val="32"/>
          <w:highlight w:val="none"/>
        </w:rPr>
        <w:t>蒋毅,马克委,王云凯,等.自然资源综合调查监测“一查多用”分类体系研究[J].自然资源遥感,2023,35(02):264-270.</w:t>
      </w:r>
    </w:p>
    <w:p w14:paraId="271D0C22">
      <w:pPr>
        <w:spacing w:before="156" w:beforeLines="50" w:after="156" w:afterLines="50" w:line="560" w:lineRule="exact"/>
        <w:ind w:firstLine="643" w:firstLineChars="200"/>
        <w:outlineLvl w:val="1"/>
        <w:rPr>
          <w:rFonts w:eastAsia="楷体"/>
          <w:b/>
          <w:color w:val="auto"/>
          <w:sz w:val="32"/>
          <w:szCs w:val="28"/>
          <w:highlight w:val="none"/>
        </w:rPr>
      </w:pPr>
      <w:r>
        <w:rPr>
          <w:rFonts w:eastAsia="楷体"/>
          <w:b/>
          <w:color w:val="auto"/>
          <w:sz w:val="32"/>
          <w:szCs w:val="28"/>
          <w:highlight w:val="none"/>
        </w:rPr>
        <w:t>（三）研讨确定标准主体内容</w:t>
      </w:r>
    </w:p>
    <w:p w14:paraId="464F4AA3">
      <w:pPr>
        <w:pStyle w:val="10"/>
        <w:keepNext w:val="0"/>
        <w:keepLines w:val="0"/>
        <w:pageBreakBefore w:val="0"/>
        <w:widowControl/>
        <w:kinsoku/>
        <w:wordWrap/>
        <w:overflowPunct/>
        <w:topLinePunct w:val="0"/>
        <w:autoSpaceDE/>
        <w:autoSpaceDN/>
        <w:bidi w:val="0"/>
        <w:adjustRightInd/>
        <w:snapToGrid/>
        <w:ind w:firstLine="640" w:firstLineChars="200"/>
        <w:textAlignment w:val="auto"/>
        <w:rPr>
          <w:rFonts w:ascii="Times New Roman" w:hAnsi="Times New Roman" w:eastAsia="仿宋_GB2312" w:cs="Times New Roman"/>
          <w:color w:val="auto"/>
          <w:kern w:val="2"/>
          <w:sz w:val="32"/>
          <w:szCs w:val="28"/>
          <w:highlight w:val="none"/>
          <w:lang w:val="en-US" w:eastAsia="zh-CN" w:bidi="ar-SA"/>
        </w:rPr>
      </w:pPr>
      <w:r>
        <w:rPr>
          <w:rFonts w:ascii="Times New Roman" w:hAnsi="Times New Roman" w:eastAsia="仿宋_GB2312" w:cs="Times New Roman"/>
          <w:color w:val="auto"/>
          <w:kern w:val="2"/>
          <w:sz w:val="32"/>
          <w:szCs w:val="28"/>
          <w:highlight w:val="none"/>
          <w:lang w:val="en-US" w:eastAsia="zh-CN" w:bidi="ar-SA"/>
        </w:rPr>
        <w:t>标准编制工作组在对收集的资料进行整理研究之后，2024年8月，标准编制工作组召开了标准编制会议，对标准的整体框架结构进行了研究，并对标准的关键性内容进行了初步探讨。经过研究，标准的主体内容确定为术语</w:t>
      </w:r>
      <w:r>
        <w:rPr>
          <w:rFonts w:hint="eastAsia" w:ascii="Times New Roman" w:hAnsi="Times New Roman" w:eastAsia="仿宋_GB2312" w:cs="Times New Roman"/>
          <w:color w:val="auto"/>
          <w:kern w:val="2"/>
          <w:sz w:val="32"/>
          <w:szCs w:val="28"/>
          <w:highlight w:val="none"/>
          <w:lang w:val="en-US" w:eastAsia="zh-CN" w:bidi="ar-SA"/>
        </w:rPr>
        <w:t>和</w:t>
      </w:r>
      <w:r>
        <w:rPr>
          <w:rFonts w:ascii="Times New Roman" w:hAnsi="Times New Roman" w:eastAsia="仿宋_GB2312" w:cs="Times New Roman"/>
          <w:color w:val="auto"/>
          <w:kern w:val="2"/>
          <w:sz w:val="32"/>
          <w:szCs w:val="28"/>
          <w:highlight w:val="none"/>
          <w:lang w:val="en-US" w:eastAsia="zh-CN" w:bidi="ar-SA"/>
        </w:rPr>
        <w:t>定义、工作原则、外业要求、外业实地调查、成果检查与质量控制、外业成果共享复用。</w:t>
      </w:r>
    </w:p>
    <w:p w14:paraId="237FA8F6">
      <w:pPr>
        <w:spacing w:before="156" w:beforeLines="50" w:after="156" w:afterLines="50" w:line="560" w:lineRule="exact"/>
        <w:ind w:firstLine="643" w:firstLineChars="200"/>
        <w:outlineLvl w:val="1"/>
        <w:rPr>
          <w:rFonts w:eastAsia="楷体"/>
          <w:b/>
          <w:color w:val="auto"/>
          <w:sz w:val="32"/>
          <w:szCs w:val="28"/>
          <w:highlight w:val="none"/>
        </w:rPr>
      </w:pPr>
      <w:r>
        <w:rPr>
          <w:rFonts w:eastAsia="楷体"/>
          <w:b/>
          <w:color w:val="auto"/>
          <w:sz w:val="32"/>
          <w:szCs w:val="28"/>
          <w:highlight w:val="none"/>
        </w:rPr>
        <w:t>（四）调研及形成草案、征求意见稿</w:t>
      </w:r>
    </w:p>
    <w:p w14:paraId="0431FF1D">
      <w:pPr>
        <w:spacing w:line="580" w:lineRule="exact"/>
        <w:ind w:firstLine="640" w:firstLineChars="200"/>
        <w:rPr>
          <w:rFonts w:eastAsia="仿宋_GB2312"/>
          <w:color w:val="auto"/>
          <w:sz w:val="32"/>
          <w:szCs w:val="28"/>
          <w:highlight w:val="none"/>
        </w:rPr>
      </w:pPr>
      <w:r>
        <w:rPr>
          <w:rFonts w:eastAsia="仿宋_GB2312"/>
          <w:color w:val="auto"/>
          <w:sz w:val="32"/>
          <w:szCs w:val="28"/>
          <w:highlight w:val="none"/>
        </w:rPr>
        <w:t>2024年8月，标准起草工作小组进行了广泛调研工作，查阅了大量的国内外文献资料，对</w:t>
      </w:r>
      <w:r>
        <w:rPr>
          <w:rFonts w:eastAsia="仿宋_GB2312"/>
          <w:color w:val="auto"/>
          <w:sz w:val="32"/>
          <w:szCs w:val="32"/>
          <w:highlight w:val="none"/>
        </w:rPr>
        <w:t>自然资源综合监测监管外业技术</w:t>
      </w:r>
      <w:r>
        <w:rPr>
          <w:rFonts w:eastAsia="仿宋_GB2312"/>
          <w:color w:val="auto"/>
          <w:sz w:val="32"/>
          <w:szCs w:val="28"/>
          <w:highlight w:val="none"/>
        </w:rPr>
        <w:t>的前人研究成果进行系统总结。形成了标准的基本构架，对主要内容进行了讨论并对项目的工作进行了部署和安排。</w:t>
      </w:r>
    </w:p>
    <w:p w14:paraId="4A35D70E">
      <w:pPr>
        <w:spacing w:line="580" w:lineRule="exact"/>
        <w:ind w:firstLine="640" w:firstLineChars="200"/>
        <w:rPr>
          <w:rFonts w:eastAsia="仿宋_GB2312"/>
          <w:color w:val="auto"/>
          <w:sz w:val="32"/>
          <w:szCs w:val="28"/>
          <w:highlight w:val="none"/>
        </w:rPr>
      </w:pPr>
      <w:r>
        <w:rPr>
          <w:rFonts w:eastAsia="仿宋_GB2312"/>
          <w:color w:val="auto"/>
          <w:sz w:val="32"/>
          <w:szCs w:val="28"/>
          <w:highlight w:val="none"/>
        </w:rPr>
        <w:t>2024年9月，在前期工作的基础之上，通过理清逻辑脉络，整合已有的参考资料中有关</w:t>
      </w:r>
      <w:r>
        <w:rPr>
          <w:rFonts w:eastAsia="仿宋_GB2312"/>
          <w:color w:val="auto"/>
          <w:sz w:val="32"/>
          <w:szCs w:val="32"/>
          <w:highlight w:val="none"/>
        </w:rPr>
        <w:t>自然资源综合监测监管外业技术</w:t>
      </w:r>
      <w:r>
        <w:rPr>
          <w:rFonts w:eastAsia="仿宋_GB2312"/>
          <w:color w:val="auto"/>
          <w:sz w:val="32"/>
          <w:szCs w:val="28"/>
          <w:highlight w:val="none"/>
        </w:rPr>
        <w:t>要求，并结合</w:t>
      </w:r>
      <w:r>
        <w:rPr>
          <w:rFonts w:eastAsia="仿宋_GB2312"/>
          <w:color w:val="auto"/>
          <w:sz w:val="32"/>
          <w:szCs w:val="32"/>
          <w:highlight w:val="none"/>
        </w:rPr>
        <w:t>自然资源综合监测监管外业技术</w:t>
      </w:r>
      <w:r>
        <w:rPr>
          <w:rFonts w:eastAsia="仿宋_GB2312"/>
          <w:color w:val="auto"/>
          <w:sz w:val="32"/>
          <w:szCs w:val="28"/>
          <w:highlight w:val="none"/>
        </w:rPr>
        <w:t>实际要求的基础上，按照简化、统一等原则编制完成团体标准《</w:t>
      </w:r>
      <w:r>
        <w:rPr>
          <w:rFonts w:eastAsia="仿宋_GB2312"/>
          <w:color w:val="auto"/>
          <w:sz w:val="32"/>
          <w:szCs w:val="32"/>
          <w:highlight w:val="none"/>
        </w:rPr>
        <w:t>自然资源综合监测监管外业技术规范</w:t>
      </w:r>
      <w:r>
        <w:rPr>
          <w:rFonts w:eastAsia="仿宋_GB2312"/>
          <w:color w:val="auto"/>
          <w:sz w:val="32"/>
          <w:szCs w:val="28"/>
          <w:highlight w:val="none"/>
        </w:rPr>
        <w:t>》（草案）。</w:t>
      </w:r>
    </w:p>
    <w:p w14:paraId="2C2FF755">
      <w:pPr>
        <w:spacing w:line="580" w:lineRule="exact"/>
        <w:ind w:firstLine="640" w:firstLineChars="200"/>
        <w:rPr>
          <w:rFonts w:eastAsia="仿宋_GB2312"/>
          <w:color w:val="auto"/>
          <w:sz w:val="32"/>
          <w:szCs w:val="28"/>
          <w:highlight w:val="none"/>
        </w:rPr>
      </w:pPr>
      <w:r>
        <w:rPr>
          <w:rFonts w:eastAsia="仿宋_GB2312"/>
          <w:color w:val="auto"/>
          <w:sz w:val="32"/>
          <w:szCs w:val="28"/>
          <w:highlight w:val="none"/>
        </w:rPr>
        <w:t>2024年10月，标准起草工作组到相关单位和科研机构进行调研，开展试验验证。并实际征求意见，通过收集反馈了大量意见，标准编制工作组多次召开会议，对标准草案进行了反复修改和研究讨论。进一步讨论完善标准草案，形成团体标准《</w:t>
      </w:r>
      <w:r>
        <w:rPr>
          <w:rFonts w:eastAsia="仿宋_GB2312"/>
          <w:color w:val="auto"/>
          <w:sz w:val="32"/>
          <w:szCs w:val="32"/>
          <w:highlight w:val="none"/>
        </w:rPr>
        <w:t>自然资源综合监测监管外业技术规范</w:t>
      </w:r>
      <w:r>
        <w:rPr>
          <w:rFonts w:eastAsia="仿宋_GB2312"/>
          <w:color w:val="auto"/>
          <w:sz w:val="32"/>
          <w:szCs w:val="28"/>
          <w:highlight w:val="none"/>
        </w:rPr>
        <w:t>》（征求意见稿）和（征求意见稿）编制说明。</w:t>
      </w:r>
    </w:p>
    <w:p w14:paraId="202B111D">
      <w:pPr>
        <w:autoSpaceDE w:val="0"/>
        <w:autoSpaceDN w:val="0"/>
        <w:adjustRightInd w:val="0"/>
        <w:spacing w:before="156" w:beforeLines="50" w:after="156" w:afterLines="50" w:line="560" w:lineRule="exact"/>
        <w:ind w:firstLine="640" w:firstLineChars="200"/>
        <w:jc w:val="left"/>
        <w:outlineLvl w:val="0"/>
        <w:rPr>
          <w:rFonts w:eastAsia="黑体"/>
          <w:color w:val="auto"/>
          <w:sz w:val="32"/>
          <w:szCs w:val="32"/>
          <w:highlight w:val="none"/>
        </w:rPr>
      </w:pPr>
      <w:bookmarkStart w:id="0" w:name="_Toc526940083"/>
      <w:r>
        <w:rPr>
          <w:rFonts w:eastAsia="黑体"/>
          <w:color w:val="auto"/>
          <w:sz w:val="32"/>
          <w:szCs w:val="32"/>
          <w:highlight w:val="none"/>
        </w:rPr>
        <w:t>四、标准制定原则</w:t>
      </w:r>
      <w:bookmarkEnd w:id="0"/>
    </w:p>
    <w:p w14:paraId="528A8FC8">
      <w:pPr>
        <w:spacing w:before="156" w:beforeLines="50" w:after="156" w:afterLines="50" w:line="560" w:lineRule="exact"/>
        <w:ind w:firstLine="643" w:firstLineChars="200"/>
        <w:outlineLvl w:val="1"/>
        <w:rPr>
          <w:rFonts w:eastAsia="楷体"/>
          <w:b/>
          <w:color w:val="auto"/>
          <w:sz w:val="32"/>
          <w:szCs w:val="28"/>
          <w:highlight w:val="none"/>
        </w:rPr>
      </w:pPr>
      <w:r>
        <w:rPr>
          <w:rFonts w:eastAsia="楷体"/>
          <w:b/>
          <w:color w:val="auto"/>
          <w:sz w:val="32"/>
          <w:szCs w:val="28"/>
          <w:highlight w:val="none"/>
        </w:rPr>
        <w:t>（一）实用性原则</w:t>
      </w:r>
    </w:p>
    <w:p w14:paraId="6353D023">
      <w:pPr>
        <w:spacing w:line="580" w:lineRule="exact"/>
        <w:ind w:firstLine="640" w:firstLineChars="200"/>
        <w:rPr>
          <w:rFonts w:eastAsia="仿宋_GB2312"/>
          <w:color w:val="auto"/>
          <w:sz w:val="32"/>
          <w:szCs w:val="28"/>
          <w:highlight w:val="none"/>
        </w:rPr>
      </w:pPr>
      <w:r>
        <w:rPr>
          <w:rFonts w:eastAsia="仿宋_GB2312"/>
          <w:color w:val="auto"/>
          <w:sz w:val="32"/>
          <w:szCs w:val="28"/>
          <w:highlight w:val="none"/>
        </w:rPr>
        <w:t>本文件是在充分收集相关资料和文献，分析</w:t>
      </w:r>
      <w:r>
        <w:rPr>
          <w:rFonts w:eastAsia="仿宋_GB2312"/>
          <w:color w:val="auto"/>
          <w:sz w:val="32"/>
          <w:szCs w:val="32"/>
          <w:highlight w:val="none"/>
        </w:rPr>
        <w:t>自然资源综合监测监管外业技术</w:t>
      </w:r>
      <w:r>
        <w:rPr>
          <w:rFonts w:eastAsia="仿宋_GB2312"/>
          <w:color w:val="auto"/>
          <w:sz w:val="32"/>
          <w:szCs w:val="28"/>
          <w:highlight w:val="none"/>
        </w:rPr>
        <w:t>当前现状，在现有相关</w:t>
      </w:r>
      <w:r>
        <w:rPr>
          <w:rFonts w:eastAsia="仿宋_GB2312"/>
          <w:color w:val="auto"/>
          <w:sz w:val="32"/>
          <w:szCs w:val="32"/>
          <w:highlight w:val="none"/>
        </w:rPr>
        <w:t>自然资源综合监测监管外业技术</w:t>
      </w:r>
      <w:r>
        <w:rPr>
          <w:rFonts w:eastAsia="仿宋_GB2312"/>
          <w:color w:val="auto"/>
          <w:sz w:val="32"/>
          <w:szCs w:val="28"/>
          <w:highlight w:val="none"/>
        </w:rPr>
        <w:t>要求的基础上，结合编制单位多年选育的试验和经验而总结起草的，符合当前</w:t>
      </w:r>
      <w:r>
        <w:rPr>
          <w:rFonts w:eastAsia="仿宋_GB2312"/>
          <w:color w:val="auto"/>
          <w:sz w:val="32"/>
          <w:szCs w:val="32"/>
          <w:highlight w:val="none"/>
        </w:rPr>
        <w:t>自然资源综合监测监管外业技术</w:t>
      </w:r>
      <w:r>
        <w:rPr>
          <w:rFonts w:eastAsia="仿宋_GB2312"/>
          <w:color w:val="auto"/>
          <w:sz w:val="32"/>
          <w:szCs w:val="28"/>
          <w:highlight w:val="none"/>
        </w:rPr>
        <w:t>发展的方向，具有较强的实用性和可操作性。</w:t>
      </w:r>
    </w:p>
    <w:p w14:paraId="3046AF9D">
      <w:pPr>
        <w:spacing w:before="156" w:beforeLines="50" w:after="156" w:afterLines="50" w:line="560" w:lineRule="exact"/>
        <w:ind w:firstLine="643" w:firstLineChars="200"/>
        <w:outlineLvl w:val="1"/>
        <w:rPr>
          <w:rFonts w:eastAsia="楷体"/>
          <w:b/>
          <w:color w:val="auto"/>
          <w:sz w:val="32"/>
          <w:szCs w:val="28"/>
          <w:highlight w:val="none"/>
        </w:rPr>
      </w:pPr>
      <w:r>
        <w:rPr>
          <w:rFonts w:eastAsia="楷体"/>
          <w:b/>
          <w:color w:val="auto"/>
          <w:sz w:val="32"/>
          <w:szCs w:val="28"/>
          <w:highlight w:val="none"/>
        </w:rPr>
        <w:t>（二）协调性原则</w:t>
      </w:r>
    </w:p>
    <w:p w14:paraId="06B69FAE">
      <w:pPr>
        <w:spacing w:line="580" w:lineRule="exact"/>
        <w:ind w:firstLine="640" w:firstLineChars="200"/>
        <w:rPr>
          <w:rFonts w:eastAsia="仿宋_GB2312"/>
          <w:color w:val="auto"/>
          <w:sz w:val="32"/>
          <w:szCs w:val="28"/>
          <w:highlight w:val="none"/>
        </w:rPr>
      </w:pPr>
      <w:r>
        <w:rPr>
          <w:rFonts w:eastAsia="仿宋_GB2312"/>
          <w:color w:val="auto"/>
          <w:sz w:val="32"/>
          <w:szCs w:val="28"/>
          <w:highlight w:val="none"/>
        </w:rPr>
        <w:t>本文件编写过程中注意了与</w:t>
      </w:r>
      <w:r>
        <w:rPr>
          <w:rFonts w:eastAsia="仿宋_GB2312"/>
          <w:color w:val="auto"/>
          <w:sz w:val="32"/>
          <w:szCs w:val="32"/>
          <w:highlight w:val="none"/>
        </w:rPr>
        <w:t>自然资源综合监测监管外业技术</w:t>
      </w:r>
      <w:r>
        <w:rPr>
          <w:rFonts w:eastAsia="仿宋_GB2312"/>
          <w:color w:val="auto"/>
          <w:sz w:val="32"/>
          <w:szCs w:val="28"/>
          <w:highlight w:val="none"/>
        </w:rPr>
        <w:t>相关法律法规的协调问题，在内容上与现行法律法规、标准协调一致。</w:t>
      </w:r>
    </w:p>
    <w:p w14:paraId="37DC7715">
      <w:pPr>
        <w:spacing w:before="156" w:beforeLines="50" w:after="156" w:afterLines="50" w:line="560" w:lineRule="exact"/>
        <w:ind w:firstLine="643" w:firstLineChars="200"/>
        <w:outlineLvl w:val="1"/>
        <w:rPr>
          <w:rFonts w:eastAsia="楷体"/>
          <w:b/>
          <w:color w:val="auto"/>
          <w:sz w:val="32"/>
          <w:szCs w:val="28"/>
          <w:highlight w:val="none"/>
        </w:rPr>
      </w:pPr>
      <w:r>
        <w:rPr>
          <w:rFonts w:eastAsia="楷体"/>
          <w:b/>
          <w:color w:val="auto"/>
          <w:sz w:val="32"/>
          <w:szCs w:val="28"/>
          <w:highlight w:val="none"/>
        </w:rPr>
        <w:t>（三）规范性原则</w:t>
      </w:r>
    </w:p>
    <w:p w14:paraId="663D5478">
      <w:pPr>
        <w:spacing w:line="580" w:lineRule="exact"/>
        <w:ind w:firstLine="640" w:firstLineChars="200"/>
        <w:rPr>
          <w:rFonts w:eastAsia="仿宋_GB2312"/>
          <w:color w:val="auto"/>
          <w:sz w:val="32"/>
          <w:szCs w:val="28"/>
          <w:highlight w:val="none"/>
        </w:rPr>
      </w:pPr>
      <w:r>
        <w:rPr>
          <w:rFonts w:eastAsia="仿宋_GB2312"/>
          <w:color w:val="auto"/>
          <w:sz w:val="32"/>
          <w:szCs w:val="28"/>
          <w:highlight w:val="none"/>
        </w:rPr>
        <w:t>本文件严格参照GB/T 1.1—2020《标准化工作导则  第1部分：标准化文件的结构和起草规则》编写本标准的内容，保证标准的编写质量。</w:t>
      </w:r>
    </w:p>
    <w:p w14:paraId="7C10F41D">
      <w:pPr>
        <w:spacing w:before="156" w:beforeLines="50" w:after="156" w:afterLines="50" w:line="560" w:lineRule="exact"/>
        <w:ind w:firstLine="643" w:firstLineChars="200"/>
        <w:outlineLvl w:val="1"/>
        <w:rPr>
          <w:rFonts w:eastAsia="楷体"/>
          <w:b/>
          <w:color w:val="auto"/>
          <w:sz w:val="32"/>
          <w:szCs w:val="28"/>
          <w:highlight w:val="none"/>
        </w:rPr>
      </w:pPr>
      <w:r>
        <w:rPr>
          <w:rFonts w:eastAsia="楷体"/>
          <w:b/>
          <w:color w:val="auto"/>
          <w:sz w:val="32"/>
          <w:szCs w:val="28"/>
          <w:highlight w:val="none"/>
        </w:rPr>
        <w:t>（四）前瞻性原则</w:t>
      </w:r>
    </w:p>
    <w:p w14:paraId="250345CD">
      <w:pPr>
        <w:spacing w:line="580" w:lineRule="exact"/>
        <w:ind w:firstLine="640" w:firstLineChars="200"/>
        <w:rPr>
          <w:rFonts w:eastAsia="仿宋_GB2312"/>
          <w:color w:val="auto"/>
          <w:sz w:val="32"/>
          <w:szCs w:val="28"/>
          <w:highlight w:val="none"/>
        </w:rPr>
      </w:pPr>
      <w:r>
        <w:rPr>
          <w:rFonts w:eastAsia="仿宋_GB2312"/>
          <w:color w:val="auto"/>
          <w:sz w:val="32"/>
          <w:szCs w:val="28"/>
          <w:highlight w:val="none"/>
        </w:rPr>
        <w:t>本文件在兼顾当前区内</w:t>
      </w:r>
      <w:r>
        <w:rPr>
          <w:rFonts w:eastAsia="仿宋_GB2312"/>
          <w:color w:val="auto"/>
          <w:sz w:val="32"/>
          <w:szCs w:val="32"/>
          <w:highlight w:val="none"/>
        </w:rPr>
        <w:t>自然资源综合监测监管外业技术</w:t>
      </w:r>
      <w:r>
        <w:rPr>
          <w:rFonts w:eastAsia="仿宋_GB2312"/>
          <w:color w:val="auto"/>
          <w:sz w:val="32"/>
          <w:szCs w:val="28"/>
          <w:highlight w:val="none"/>
        </w:rPr>
        <w:t>现实情况的同时，还考虑到了自然资源综合监测监管外业技术快速发展的趋势和需要，在标准中体现了个别特色性、前瞻性和先进性条款，作为对</w:t>
      </w:r>
      <w:r>
        <w:rPr>
          <w:rFonts w:eastAsia="仿宋_GB2312"/>
          <w:color w:val="auto"/>
          <w:sz w:val="32"/>
          <w:szCs w:val="32"/>
          <w:highlight w:val="none"/>
        </w:rPr>
        <w:t>自然资源综合监测监管外业技术</w:t>
      </w:r>
      <w:r>
        <w:rPr>
          <w:rFonts w:eastAsia="仿宋_GB2312"/>
          <w:color w:val="auto"/>
          <w:sz w:val="32"/>
          <w:szCs w:val="28"/>
          <w:highlight w:val="none"/>
        </w:rPr>
        <w:t>发展的指导。</w:t>
      </w:r>
    </w:p>
    <w:p w14:paraId="09AAB3A4">
      <w:pPr>
        <w:autoSpaceDE w:val="0"/>
        <w:autoSpaceDN w:val="0"/>
        <w:adjustRightInd w:val="0"/>
        <w:spacing w:before="156" w:beforeLines="50" w:after="156" w:afterLines="50" w:line="560" w:lineRule="exact"/>
        <w:ind w:firstLine="640" w:firstLineChars="200"/>
        <w:jc w:val="left"/>
        <w:outlineLvl w:val="0"/>
        <w:rPr>
          <w:rFonts w:eastAsia="黑体"/>
          <w:color w:val="auto"/>
          <w:sz w:val="32"/>
          <w:szCs w:val="32"/>
          <w:highlight w:val="none"/>
        </w:rPr>
      </w:pPr>
      <w:bookmarkStart w:id="1" w:name="_Toc526940084"/>
      <w:r>
        <w:rPr>
          <w:rFonts w:eastAsia="黑体"/>
          <w:color w:val="auto"/>
          <w:sz w:val="32"/>
          <w:szCs w:val="32"/>
          <w:highlight w:val="none"/>
        </w:rPr>
        <w:t>五、标准主要内容及依据来源</w:t>
      </w:r>
      <w:bookmarkEnd w:id="1"/>
    </w:p>
    <w:p w14:paraId="32B61331">
      <w:pPr>
        <w:pStyle w:val="47"/>
        <w:spacing w:line="580" w:lineRule="exact"/>
        <w:ind w:firstLine="640" w:firstLineChars="200"/>
        <w:rPr>
          <w:rFonts w:ascii="Times New Roman" w:hAnsi="Times New Roman" w:eastAsia="仿宋_GB2312"/>
          <w:color w:val="auto"/>
          <w:highlight w:val="none"/>
        </w:rPr>
      </w:pPr>
      <w:r>
        <w:rPr>
          <w:rFonts w:ascii="Times New Roman" w:hAnsi="Times New Roman" w:eastAsia="仿宋_GB2312"/>
          <w:color w:val="auto"/>
          <w:highlight w:val="none"/>
          <w:lang w:val="zh-CN"/>
        </w:rPr>
        <w:t>编制单位作为技术</w:t>
      </w:r>
      <w:r>
        <w:rPr>
          <w:rFonts w:ascii="Times New Roman" w:hAnsi="Times New Roman" w:eastAsia="仿宋_GB2312"/>
          <w:color w:val="auto"/>
          <w:highlight w:val="none"/>
        </w:rPr>
        <w:t>支撑单位，牵头开展自然资源综合监测监管工作，通过3年来积累的经验，形成了成熟的自然资源综合监测监管外业调查技术流程，实现了“互联网+”技术开展外业调查工作，</w:t>
      </w:r>
      <w:r>
        <w:rPr>
          <w:rFonts w:ascii="Times New Roman" w:hAnsi="Times New Roman" w:eastAsia="仿宋_GB2312"/>
          <w:bCs w:val="0"/>
          <w:color w:val="auto"/>
          <w:highlight w:val="none"/>
          <w:lang w:val="zh-CN"/>
        </w:rPr>
        <w:t>自主研发</w:t>
      </w:r>
      <w:r>
        <w:rPr>
          <w:rFonts w:ascii="Times New Roman" w:hAnsi="Times New Roman" w:eastAsia="仿宋_GB2312"/>
          <w:bCs w:val="0"/>
          <w:color w:val="auto"/>
          <w:highlight w:val="none"/>
        </w:rPr>
        <w:t>的外业调查软件，为自治区级、市级、县级用户提供自然资源外业调查手段支撑，支持多种调查类型任务，提供信息加密服务。自外业调查软件上线以来，累积用户近1.5万人，涵盖作业人员外业调查、市县人员</w:t>
      </w:r>
      <w:r>
        <w:rPr>
          <w:rFonts w:ascii="Times New Roman" w:hAnsi="Times New Roman" w:eastAsia="仿宋_GB2312"/>
          <w:color w:val="auto"/>
          <w:highlight w:val="none"/>
        </w:rPr>
        <w:t>核实举证等多个使用场景，下发任务40万余个，回传照片689万余张，回传视频数近5万余个，通过调查成果的互用，共享复用图斑超10万个。</w:t>
      </w:r>
      <w:r>
        <w:rPr>
          <w:rFonts w:ascii="Times New Roman" w:hAnsi="Times New Roman" w:eastAsia="仿宋_GB2312"/>
          <w:bCs w:val="0"/>
          <w:color w:val="auto"/>
          <w:highlight w:val="none"/>
        </w:rPr>
        <w:t>外业调查软件</w:t>
      </w:r>
      <w:r>
        <w:rPr>
          <w:rFonts w:ascii="Times New Roman" w:hAnsi="Times New Roman" w:eastAsia="仿宋_GB2312"/>
          <w:color w:val="auto"/>
          <w:highlight w:val="none"/>
        </w:rPr>
        <w:t>各类型外业举证数据可以相互抽取和复用，依托现有软硬件及网络基础设施环境，建立外业举证数据共享池，在保障网络和数据安全的前提下，实现了数据和业务间的联通，详见下图。</w:t>
      </w:r>
    </w:p>
    <w:p w14:paraId="46EA9BF2">
      <w:pPr>
        <w:pStyle w:val="10"/>
        <w:keepNext w:val="0"/>
        <w:keepLines w:val="0"/>
        <w:pageBreakBefore w:val="0"/>
        <w:widowControl/>
        <w:kinsoku/>
        <w:wordWrap/>
        <w:overflowPunct/>
        <w:topLinePunct w:val="0"/>
        <w:autoSpaceDE/>
        <w:autoSpaceDN/>
        <w:bidi w:val="0"/>
        <w:adjustRightInd/>
        <w:snapToGrid/>
        <w:spacing w:line="360" w:lineRule="auto"/>
        <w:ind w:firstLine="425"/>
        <w:textAlignment w:val="auto"/>
        <w:rPr>
          <w:color w:val="auto"/>
          <w:highlight w:val="none"/>
        </w:rPr>
      </w:pPr>
      <w:r>
        <w:rPr>
          <w:color w:val="auto"/>
          <w:highlight w:val="none"/>
        </w:rPr>
        <w:drawing>
          <wp:inline distT="0" distB="0" distL="114300" distR="114300">
            <wp:extent cx="1303020" cy="2879725"/>
            <wp:effectExtent l="0" t="0" r="7620" b="635"/>
            <wp:docPr id="8" name="图片 8" descr="768dbe275e96efe7cfb2c29520b66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768dbe275e96efe7cfb2c29520b666a"/>
                    <pic:cNvPicPr>
                      <a:picLocks noChangeAspect="1"/>
                    </pic:cNvPicPr>
                  </pic:nvPicPr>
                  <pic:blipFill>
                    <a:blip r:embed="rId5"/>
                    <a:stretch>
                      <a:fillRect/>
                    </a:stretch>
                  </pic:blipFill>
                  <pic:spPr>
                    <a:xfrm>
                      <a:off x="0" y="0"/>
                      <a:ext cx="1303020" cy="2879725"/>
                    </a:xfrm>
                    <a:prstGeom prst="rect">
                      <a:avLst/>
                    </a:prstGeom>
                  </pic:spPr>
                </pic:pic>
              </a:graphicData>
            </a:graphic>
          </wp:inline>
        </w:drawing>
      </w:r>
      <w:r>
        <w:rPr>
          <w:color w:val="auto"/>
          <w:highlight w:val="none"/>
        </w:rPr>
        <w:drawing>
          <wp:inline distT="0" distB="0" distL="114300" distR="114300">
            <wp:extent cx="1303020" cy="2879725"/>
            <wp:effectExtent l="0" t="0" r="7620" b="635"/>
            <wp:docPr id="9" name="图片 9" descr="90796f734593aa1a39f7ef425fb3c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90796f734593aa1a39f7ef425fb3cea"/>
                    <pic:cNvPicPr>
                      <a:picLocks noChangeAspect="1"/>
                    </pic:cNvPicPr>
                  </pic:nvPicPr>
                  <pic:blipFill>
                    <a:blip r:embed="rId6"/>
                    <a:stretch>
                      <a:fillRect/>
                    </a:stretch>
                  </pic:blipFill>
                  <pic:spPr>
                    <a:xfrm>
                      <a:off x="0" y="0"/>
                      <a:ext cx="1303020" cy="2879725"/>
                    </a:xfrm>
                    <a:prstGeom prst="rect">
                      <a:avLst/>
                    </a:prstGeom>
                  </pic:spPr>
                </pic:pic>
              </a:graphicData>
            </a:graphic>
          </wp:inline>
        </w:drawing>
      </w:r>
      <w:r>
        <w:rPr>
          <w:color w:val="auto"/>
          <w:highlight w:val="none"/>
        </w:rPr>
        <w:drawing>
          <wp:inline distT="0" distB="0" distL="114300" distR="114300">
            <wp:extent cx="1303020" cy="2879725"/>
            <wp:effectExtent l="0" t="0" r="7620" b="635"/>
            <wp:docPr id="10" name="图片 10" descr="2d3117994783636ae837bd753ec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d3117994783636ae837bd753ec1907"/>
                    <pic:cNvPicPr>
                      <a:picLocks noChangeAspect="1"/>
                    </pic:cNvPicPr>
                  </pic:nvPicPr>
                  <pic:blipFill>
                    <a:blip r:embed="rId7"/>
                    <a:stretch>
                      <a:fillRect/>
                    </a:stretch>
                  </pic:blipFill>
                  <pic:spPr>
                    <a:xfrm>
                      <a:off x="0" y="0"/>
                      <a:ext cx="1303020" cy="2879725"/>
                    </a:xfrm>
                    <a:prstGeom prst="rect">
                      <a:avLst/>
                    </a:prstGeom>
                  </pic:spPr>
                </pic:pic>
              </a:graphicData>
            </a:graphic>
          </wp:inline>
        </w:drawing>
      </w:r>
      <w:r>
        <w:rPr>
          <w:color w:val="auto"/>
          <w:highlight w:val="none"/>
        </w:rPr>
        <w:drawing>
          <wp:inline distT="0" distB="0" distL="114300" distR="114300">
            <wp:extent cx="1303020" cy="2879725"/>
            <wp:effectExtent l="0" t="0" r="7620" b="635"/>
            <wp:docPr id="12" name="图片 12" descr="09419d2c8faf484c931a24cc96493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09419d2c8faf484c931a24cc96493e7"/>
                    <pic:cNvPicPr>
                      <a:picLocks noChangeAspect="1"/>
                    </pic:cNvPicPr>
                  </pic:nvPicPr>
                  <pic:blipFill>
                    <a:blip r:embed="rId8"/>
                    <a:stretch>
                      <a:fillRect/>
                    </a:stretch>
                  </pic:blipFill>
                  <pic:spPr>
                    <a:xfrm>
                      <a:off x="0" y="0"/>
                      <a:ext cx="1303020" cy="2879725"/>
                    </a:xfrm>
                    <a:prstGeom prst="rect">
                      <a:avLst/>
                    </a:prstGeom>
                  </pic:spPr>
                </pic:pic>
              </a:graphicData>
            </a:graphic>
          </wp:inline>
        </w:drawing>
      </w:r>
    </w:p>
    <w:p w14:paraId="2ACAE0C2">
      <w:pPr>
        <w:pStyle w:val="10"/>
        <w:jc w:val="center"/>
        <w:rPr>
          <w:color w:val="auto"/>
          <w:sz w:val="24"/>
          <w:szCs w:val="28"/>
          <w:highlight w:val="none"/>
        </w:rPr>
      </w:pPr>
      <w:r>
        <w:rPr>
          <w:color w:val="auto"/>
          <w:sz w:val="24"/>
          <w:szCs w:val="28"/>
          <w:highlight w:val="none"/>
        </w:rPr>
        <w:t>图1 外业调查软件APP界面</w:t>
      </w:r>
    </w:p>
    <w:p w14:paraId="3FAF5CCC">
      <w:pPr>
        <w:pStyle w:val="10"/>
        <w:rPr>
          <w:rFonts w:ascii="Times New Roman" w:hAnsi="Times New Roman" w:eastAsia="仿宋_GB2312" w:cs="Times New Roman"/>
          <w:color w:val="auto"/>
          <w:kern w:val="2"/>
          <w:sz w:val="32"/>
          <w:szCs w:val="32"/>
          <w:highlight w:val="none"/>
          <w:lang w:val="zh-CN" w:eastAsia="zh-CN" w:bidi="ar-SA"/>
        </w:rPr>
      </w:pPr>
      <w:r>
        <w:rPr>
          <w:rFonts w:ascii="Times New Roman" w:hAnsi="Times New Roman" w:eastAsia="仿宋_GB2312" w:cs="Times New Roman"/>
          <w:color w:val="auto"/>
          <w:kern w:val="2"/>
          <w:sz w:val="32"/>
          <w:szCs w:val="32"/>
          <w:highlight w:val="none"/>
          <w:lang w:val="zh-CN" w:eastAsia="zh-CN" w:bidi="ar-SA"/>
        </w:rPr>
        <w:t>团体标准《自然资源综合监测监管外业技术规范》的主要章节内容包括：术语</w:t>
      </w:r>
      <w:r>
        <w:rPr>
          <w:rFonts w:hint="eastAsia" w:ascii="Times New Roman" w:hAnsi="Times New Roman" w:eastAsia="仿宋_GB2312" w:cs="Times New Roman"/>
          <w:color w:val="auto"/>
          <w:kern w:val="2"/>
          <w:sz w:val="32"/>
          <w:szCs w:val="32"/>
          <w:highlight w:val="none"/>
          <w:lang w:val="en-US" w:eastAsia="zh-CN" w:bidi="ar-SA"/>
        </w:rPr>
        <w:t>和</w:t>
      </w:r>
      <w:r>
        <w:rPr>
          <w:rFonts w:ascii="Times New Roman" w:hAnsi="Times New Roman" w:eastAsia="仿宋_GB2312" w:cs="Times New Roman"/>
          <w:color w:val="auto"/>
          <w:kern w:val="2"/>
          <w:sz w:val="32"/>
          <w:szCs w:val="32"/>
          <w:highlight w:val="none"/>
          <w:lang w:val="zh-CN" w:eastAsia="zh-CN" w:bidi="ar-SA"/>
        </w:rPr>
        <w:t>定义、工作原则、外业要求、外业实地调查、成果检查与质量控制、外业成果共享复用，适用于自然资源综合监测监管工作的开展。</w:t>
      </w:r>
    </w:p>
    <w:p w14:paraId="5A1CEAD1">
      <w:pPr>
        <w:spacing w:before="156" w:beforeLines="50" w:after="156" w:afterLines="50" w:line="560" w:lineRule="exact"/>
        <w:ind w:firstLine="643" w:firstLineChars="200"/>
        <w:outlineLvl w:val="1"/>
        <w:rPr>
          <w:rFonts w:eastAsia="楷体"/>
          <w:b/>
          <w:color w:val="auto"/>
          <w:sz w:val="32"/>
          <w:szCs w:val="28"/>
          <w:highlight w:val="none"/>
          <w:lang w:val="zh-CN"/>
        </w:rPr>
      </w:pPr>
      <w:r>
        <w:rPr>
          <w:rFonts w:eastAsia="楷体"/>
          <w:b/>
          <w:color w:val="auto"/>
          <w:sz w:val="32"/>
          <w:szCs w:val="28"/>
          <w:highlight w:val="none"/>
          <w:lang w:val="zh-CN"/>
        </w:rPr>
        <w:t>（</w:t>
      </w:r>
      <w:r>
        <w:rPr>
          <w:rFonts w:eastAsia="楷体"/>
          <w:b/>
          <w:color w:val="auto"/>
          <w:sz w:val="32"/>
          <w:szCs w:val="28"/>
          <w:highlight w:val="none"/>
        </w:rPr>
        <w:t>一</w:t>
      </w:r>
      <w:r>
        <w:rPr>
          <w:rFonts w:eastAsia="楷体"/>
          <w:b/>
          <w:color w:val="auto"/>
          <w:sz w:val="32"/>
          <w:szCs w:val="28"/>
          <w:highlight w:val="none"/>
          <w:lang w:val="zh-CN"/>
        </w:rPr>
        <w:t>）术语与定义</w:t>
      </w:r>
    </w:p>
    <w:p w14:paraId="61ECEEE7">
      <w:pPr>
        <w:spacing w:line="580" w:lineRule="exact"/>
        <w:ind w:firstLine="640" w:firstLineChars="200"/>
        <w:rPr>
          <w:rFonts w:eastAsia="仿宋_GB2312"/>
          <w:color w:val="auto"/>
          <w:sz w:val="32"/>
          <w:szCs w:val="32"/>
          <w:highlight w:val="none"/>
        </w:rPr>
      </w:pPr>
      <w:r>
        <w:rPr>
          <w:rFonts w:eastAsia="仿宋_GB2312"/>
          <w:color w:val="auto"/>
          <w:sz w:val="32"/>
          <w:szCs w:val="32"/>
          <w:highlight w:val="none"/>
          <w:lang w:val="zh-CN"/>
        </w:rPr>
        <w:t>主要</w:t>
      </w:r>
      <w:r>
        <w:rPr>
          <w:rFonts w:eastAsia="仿宋_GB2312"/>
          <w:color w:val="auto"/>
          <w:sz w:val="32"/>
          <w:szCs w:val="32"/>
          <w:highlight w:val="none"/>
        </w:rPr>
        <w:t>参照了目前国内外有关自然资源统一调查监测相关问题的研究论述，同时结合了本团队在广西自然资源综合监测监管工作的开展，从建设背景、建设内容</w:t>
      </w:r>
      <w:r>
        <w:rPr>
          <w:rFonts w:eastAsia="仿宋_GB2312"/>
          <w:color w:val="auto"/>
          <w:sz w:val="32"/>
          <w:szCs w:val="32"/>
          <w:highlight w:val="none"/>
          <w:lang w:val="zh-CN"/>
        </w:rPr>
        <w:t>等方面的要求对</w:t>
      </w:r>
      <w:r>
        <w:rPr>
          <w:rFonts w:eastAsia="仿宋_GB2312"/>
          <w:color w:val="auto"/>
          <w:sz w:val="32"/>
          <w:szCs w:val="32"/>
          <w:highlight w:val="none"/>
        </w:rPr>
        <w:t>自然资源综合监测监管外业技术涉及的术语进行定义，包括自然资源综合监测监管、外业调查表、外业</w:t>
      </w:r>
      <w:r>
        <w:rPr>
          <w:rFonts w:hint="eastAsia" w:eastAsia="仿宋_GB2312"/>
          <w:color w:val="auto"/>
          <w:sz w:val="32"/>
          <w:szCs w:val="32"/>
          <w:highlight w:val="none"/>
        </w:rPr>
        <w:t>调查</w:t>
      </w:r>
      <w:r>
        <w:rPr>
          <w:rFonts w:eastAsia="仿宋_GB2312"/>
          <w:color w:val="auto"/>
          <w:sz w:val="32"/>
          <w:szCs w:val="32"/>
          <w:highlight w:val="none"/>
        </w:rPr>
        <w:t>软件的定义。</w:t>
      </w:r>
    </w:p>
    <w:p w14:paraId="357CAEEE">
      <w:pPr>
        <w:spacing w:before="156" w:beforeLines="50" w:after="156" w:afterLines="50" w:line="560" w:lineRule="exact"/>
        <w:ind w:firstLine="643" w:firstLineChars="200"/>
        <w:outlineLvl w:val="1"/>
        <w:rPr>
          <w:rFonts w:eastAsia="楷体"/>
          <w:b/>
          <w:color w:val="auto"/>
          <w:sz w:val="32"/>
          <w:szCs w:val="28"/>
          <w:highlight w:val="none"/>
          <w:lang w:val="zh-CN"/>
        </w:rPr>
      </w:pPr>
      <w:bookmarkStart w:id="2" w:name="_Toc180852731"/>
      <w:bookmarkStart w:id="3" w:name="_Toc180836120"/>
      <w:bookmarkStart w:id="4" w:name="_Toc180836260"/>
      <w:bookmarkStart w:id="5" w:name="_Toc180852674"/>
      <w:bookmarkStart w:id="6" w:name="_Toc180836097"/>
      <w:bookmarkStart w:id="7" w:name="_Toc180854494"/>
      <w:bookmarkStart w:id="8" w:name="_Toc180852605"/>
      <w:bookmarkStart w:id="9" w:name="_Toc180836204"/>
      <w:r>
        <w:rPr>
          <w:rFonts w:eastAsia="楷体"/>
          <w:b/>
          <w:color w:val="auto"/>
          <w:sz w:val="32"/>
          <w:szCs w:val="28"/>
          <w:highlight w:val="none"/>
          <w:lang w:val="zh-CN"/>
        </w:rPr>
        <w:t>（二）工作原则</w:t>
      </w:r>
    </w:p>
    <w:p w14:paraId="30B8F19C">
      <w:pPr>
        <w:spacing w:line="580" w:lineRule="exact"/>
        <w:ind w:firstLine="640" w:firstLineChars="200"/>
        <w:rPr>
          <w:rFonts w:eastAsia="仿宋_GB2312"/>
          <w:color w:val="auto"/>
          <w:sz w:val="32"/>
          <w:szCs w:val="32"/>
          <w:highlight w:val="none"/>
        </w:rPr>
      </w:pPr>
      <w:r>
        <w:rPr>
          <w:rFonts w:eastAsia="仿宋_GB2312"/>
          <w:color w:val="auto"/>
          <w:sz w:val="32"/>
          <w:szCs w:val="32"/>
          <w:highlight w:val="none"/>
        </w:rPr>
        <w:t>本技术规范提出了实事求是、科学调查、一查多用的工作原则。主要依据《土地调查条例》第一条，保障土地调查数据的真实性、准确性和及时性的要求，真实准确的调查监测成果是自然资源管理部门开展精细化管理的关键，因此提出遵循实事求是、科学调查原则；另外自然资源各部门间仍有监管交叉的情形，这就导致同一个地</w:t>
      </w:r>
      <w:r>
        <w:rPr>
          <w:rFonts w:hint="eastAsia" w:eastAsia="仿宋_GB2312"/>
          <w:color w:val="auto"/>
          <w:sz w:val="32"/>
          <w:szCs w:val="32"/>
          <w:highlight w:val="none"/>
        </w:rPr>
        <w:t>块</w:t>
      </w:r>
      <w:r>
        <w:rPr>
          <w:rFonts w:eastAsia="仿宋_GB2312"/>
          <w:color w:val="auto"/>
          <w:sz w:val="32"/>
          <w:szCs w:val="32"/>
          <w:highlight w:val="none"/>
        </w:rPr>
        <w:t>变化，可能涉及不同的监管内容，同一地块多次外调工作会造成了人力、物力资源的极大浪费，提出还应遵循一查多用原则。</w:t>
      </w:r>
    </w:p>
    <w:p w14:paraId="4BCCA092">
      <w:pPr>
        <w:spacing w:before="156" w:beforeLines="50" w:after="156" w:afterLines="50" w:line="560" w:lineRule="exact"/>
        <w:ind w:firstLine="643" w:firstLineChars="200"/>
        <w:outlineLvl w:val="1"/>
        <w:rPr>
          <w:rFonts w:eastAsia="楷体"/>
          <w:b/>
          <w:color w:val="auto"/>
          <w:sz w:val="32"/>
          <w:szCs w:val="28"/>
          <w:highlight w:val="none"/>
          <w:lang w:val="zh-CN"/>
        </w:rPr>
      </w:pPr>
      <w:r>
        <w:rPr>
          <w:rFonts w:eastAsia="楷体"/>
          <w:b/>
          <w:color w:val="auto"/>
          <w:sz w:val="32"/>
          <w:szCs w:val="28"/>
          <w:highlight w:val="none"/>
          <w:lang w:val="zh-CN"/>
        </w:rPr>
        <w:t>（三）外业要求</w:t>
      </w:r>
    </w:p>
    <w:p w14:paraId="0405B4AD">
      <w:pPr>
        <w:spacing w:line="580" w:lineRule="exact"/>
        <w:ind w:firstLine="640" w:firstLineChars="200"/>
        <w:jc w:val="left"/>
        <w:rPr>
          <w:rFonts w:eastAsia="仿宋_GB2312"/>
          <w:color w:val="auto"/>
          <w:sz w:val="32"/>
          <w:szCs w:val="32"/>
          <w:highlight w:val="none"/>
        </w:rPr>
      </w:pPr>
      <w:r>
        <w:rPr>
          <w:rFonts w:eastAsia="仿宋_GB2312"/>
          <w:color w:val="auto"/>
          <w:sz w:val="32"/>
          <w:szCs w:val="32"/>
          <w:highlight w:val="none"/>
        </w:rPr>
        <w:t>外业要求包括数学基础、基本要求、调查要求、拍摄要求。其中数学基础依据GB/T 17159-2009大地测量术语规定，对大地基准、高程基准都做了要求，为了提升外业调查数据的通用性，减少外业成果利用过程中的坐标转换工作，数学基础均与国家现行标准一致。基本要求则参照《测绘地理信息管理工作国家秘密范围的规定》</w:t>
      </w:r>
      <w:r>
        <w:rPr>
          <w:rFonts w:hint="eastAsia" w:eastAsia="仿宋_GB2312"/>
          <w:color w:val="auto"/>
          <w:sz w:val="32"/>
          <w:szCs w:val="32"/>
          <w:highlight w:val="none"/>
        </w:rPr>
        <w:t>，</w:t>
      </w:r>
      <w:r>
        <w:rPr>
          <w:rFonts w:eastAsia="仿宋_GB2312"/>
          <w:color w:val="auto"/>
          <w:sz w:val="32"/>
          <w:szCs w:val="32"/>
          <w:highlight w:val="none"/>
        </w:rPr>
        <w:t>规定了外业调查基本要求涉及军事区域不得举证、数据必须经脱敏处理，确保外业数据的保密、安全性。</w:t>
      </w:r>
    </w:p>
    <w:p w14:paraId="61D4D504">
      <w:pPr>
        <w:spacing w:line="580" w:lineRule="exact"/>
        <w:ind w:firstLine="640" w:firstLineChars="200"/>
        <w:jc w:val="left"/>
        <w:rPr>
          <w:rFonts w:eastAsia="仿宋_GB2312"/>
          <w:color w:val="auto"/>
          <w:sz w:val="32"/>
          <w:szCs w:val="32"/>
          <w:highlight w:val="none"/>
        </w:rPr>
      </w:pPr>
      <w:r>
        <w:rPr>
          <w:rFonts w:eastAsia="仿宋_GB2312"/>
          <w:color w:val="auto"/>
          <w:sz w:val="32"/>
          <w:szCs w:val="32"/>
          <w:highlight w:val="none"/>
        </w:rPr>
        <w:t>为了确保数据的真实、完整、准确性，外业技术规范依据工作实际及相关政策要求对调查要求做出了规定，一是要走到、看到、问到、记到客观真实反映调查图斑的各种信息内容，完整记录调查内容，通过“四到”的方式，确保调查内容的真实可靠；二是参照《土地卫片执法图斑合法性判定规则》实地未变化要求，记录农民建房屋顶翻新、耕地撂荒、土地清表、稻虾养殖、地膜覆盖、季节变化、未硬化地表的简易棚、未硬化地表的光伏阵列、未破坏耕作层临时堆放、地下管线铺设等，通过记录实地未变化原因，满足工作中执法部门对这一部分内容调查的要求，确保了调查内容的完整性；三是使用含卫星定位坐标、拍摄方位角、拍摄时间、实地照片或视频的外业调查软件，通过使用具备一定精度的外业调查软件，确保了调查的准确与精度。</w:t>
      </w:r>
    </w:p>
    <w:p w14:paraId="22306CC5">
      <w:pPr>
        <w:pStyle w:val="55"/>
        <w:numPr>
          <w:ilvl w:val="0"/>
          <w:numId w:val="0"/>
        </w:numPr>
        <w:spacing w:line="580" w:lineRule="exact"/>
        <w:ind w:firstLine="640" w:firstLineChars="200"/>
        <w:rPr>
          <w:rFonts w:hint="default" w:ascii="Times New Roman" w:eastAsia="仿宋_GB2312"/>
          <w:color w:val="auto"/>
          <w:kern w:val="2"/>
          <w:sz w:val="32"/>
          <w:szCs w:val="32"/>
          <w:highlight w:val="none"/>
        </w:rPr>
      </w:pPr>
      <w:r>
        <w:rPr>
          <w:rFonts w:hint="default" w:ascii="Times New Roman" w:eastAsia="仿宋_GB2312"/>
          <w:color w:val="auto"/>
          <w:kern w:val="2"/>
          <w:sz w:val="32"/>
          <w:szCs w:val="32"/>
          <w:highlight w:val="none"/>
        </w:rPr>
        <w:t>依据TD/T 1055-2019 第三次全国国土调查技术规程举证照片拍摄要求，外业技术规范规定需拍摄全景、近景及利用特征照片等基本拍摄要求，通过实践过程的反复对比，发现拍摄的数量全景2张，近景3张，利用特征2张情况下，需进行照片补拍的概率低于1%，因此对照片数量下限做了要求，对于实地照片难以反映现场全部情况的图斑，可通过拍摄视频进行补充举证，实际作业中对于实地范围较大或线性形状的地块，通过视频方式能较好的反映全貌形态。</w:t>
      </w:r>
    </w:p>
    <w:p w14:paraId="3F76E1A3">
      <w:pPr>
        <w:pStyle w:val="55"/>
        <w:numPr>
          <w:ilvl w:val="0"/>
          <w:numId w:val="0"/>
        </w:numPr>
        <w:spacing w:line="580" w:lineRule="exact"/>
        <w:ind w:firstLine="640" w:firstLineChars="200"/>
        <w:rPr>
          <w:rFonts w:hint="default" w:ascii="Times New Roman" w:eastAsia="仿宋_GB2312"/>
          <w:color w:val="auto"/>
          <w:kern w:val="2"/>
          <w:sz w:val="32"/>
          <w:szCs w:val="32"/>
          <w:highlight w:val="none"/>
        </w:rPr>
      </w:pPr>
      <w:r>
        <w:rPr>
          <w:rFonts w:hint="default" w:ascii="Times New Roman" w:eastAsia="仿宋_GB2312"/>
          <w:color w:val="auto"/>
          <w:kern w:val="2"/>
          <w:sz w:val="32"/>
          <w:szCs w:val="32"/>
          <w:highlight w:val="none"/>
        </w:rPr>
        <w:t>补充拍摄要求则为了满足自然资源调查管理需求，针对耕地保护、矿山保护与开发利用、建设用地开发利用、自然生态保护修复等重点管理内容。（1）耕地上种植的作物拍摄要求做了规定，要求拍摄能够清晰分辨出种植的作物作物，作物有套种的情况，应拍摄出套种的整体情况和套种的作物，有种植大棚应近景照片要能体现内部作物种植情况等，通过补充拍摄要求能更直观查看耕地上作物信息。（2）采矿用地应拍摄挖掘、传送运输等机器设备能反映动工情况的利用特征照片，同时拍摄开发利用现状，地形地貌景观破坏情况和矿山土地复垦情况，从而更好的反映矿山保护利用情况。（3）建筑物、临时简易棚，应拍出能反映用途的主体、牌匾等的全貌，拍摄的字体应清晰可见，可拍摄地面是否硬化及现场利用状况。（4）在建铁路公路应拍摄路面是否硬化、路基是否形成、道路是否通达等建设状态，对于同一铁路、公路或沟渠等线状地物宜截取1-2典型地段进行拍摄，其他部分可类举说明。通过选取典型地段，减轻了因线状地物跨度大导致外业核实工作量大的问题。（5）推土区应拍摄是否开始建设、是否开挖地基、是否堆放东西等利用状态，更好的预测推土是否为建设用途。通过以上补充拍摄要求能更直观反映</w:t>
      </w:r>
      <w:r>
        <w:rPr>
          <w:rFonts w:ascii="Times New Roman" w:eastAsia="仿宋_GB2312"/>
          <w:color w:val="auto"/>
          <w:kern w:val="2"/>
          <w:sz w:val="32"/>
          <w:szCs w:val="32"/>
          <w:highlight w:val="none"/>
        </w:rPr>
        <w:t>地块用途、实际状态等，</w:t>
      </w:r>
      <w:r>
        <w:rPr>
          <w:rFonts w:hint="default" w:ascii="Times New Roman" w:eastAsia="仿宋_GB2312"/>
          <w:color w:val="auto"/>
          <w:kern w:val="2"/>
          <w:sz w:val="32"/>
          <w:szCs w:val="32"/>
          <w:highlight w:val="none"/>
        </w:rPr>
        <w:t>为建立外业样本库提供了详实资料基础，为展示典型案例提供支撑。</w:t>
      </w:r>
    </w:p>
    <w:p w14:paraId="373A92DE">
      <w:pPr>
        <w:pStyle w:val="55"/>
        <w:numPr>
          <w:ilvl w:val="0"/>
          <w:numId w:val="0"/>
        </w:numPr>
        <w:spacing w:line="360" w:lineRule="auto"/>
        <w:jc w:val="center"/>
        <w:rPr>
          <w:rFonts w:hint="default" w:ascii="Times New Roman" w:eastAsia="仿宋_GB2312"/>
          <w:color w:val="auto"/>
          <w:kern w:val="2"/>
          <w:sz w:val="32"/>
          <w:szCs w:val="32"/>
          <w:highlight w:val="none"/>
        </w:rPr>
      </w:pPr>
      <w:r>
        <w:rPr>
          <w:rFonts w:hint="default" w:ascii="Times New Roman" w:eastAsia="仿宋_GB2312"/>
          <w:color w:val="auto"/>
          <w:kern w:val="2"/>
          <w:sz w:val="32"/>
          <w:szCs w:val="32"/>
          <w:highlight w:val="none"/>
          <w:bdr w:val="single" w:color="auto" w:sz="4" w:space="0"/>
        </w:rPr>
        <w:drawing>
          <wp:inline distT="0" distB="0" distL="114300" distR="114300">
            <wp:extent cx="5400040" cy="1405890"/>
            <wp:effectExtent l="0" t="0" r="10160" b="11430"/>
            <wp:docPr id="4" name="图片 4" descr="1730435005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730435005166"/>
                    <pic:cNvPicPr>
                      <a:picLocks noChangeAspect="1"/>
                    </pic:cNvPicPr>
                  </pic:nvPicPr>
                  <pic:blipFill>
                    <a:blip r:embed="rId9"/>
                    <a:stretch>
                      <a:fillRect/>
                    </a:stretch>
                  </pic:blipFill>
                  <pic:spPr>
                    <a:xfrm>
                      <a:off x="0" y="0"/>
                      <a:ext cx="5400040" cy="1405890"/>
                    </a:xfrm>
                    <a:prstGeom prst="rect">
                      <a:avLst/>
                    </a:prstGeom>
                  </pic:spPr>
                </pic:pic>
              </a:graphicData>
            </a:graphic>
          </wp:inline>
        </w:drawing>
      </w:r>
    </w:p>
    <w:p w14:paraId="6C8DDA16">
      <w:pPr>
        <w:spacing w:line="360" w:lineRule="auto"/>
        <w:jc w:val="center"/>
        <w:rPr>
          <w:rFonts w:eastAsia="仿宋_GB2312"/>
          <w:color w:val="auto"/>
          <w:kern w:val="0"/>
          <w:sz w:val="24"/>
          <w:highlight w:val="none"/>
          <w:lang w:bidi="ar"/>
        </w:rPr>
      </w:pPr>
      <w:r>
        <w:rPr>
          <w:rFonts w:eastAsia="仿宋_GB2312"/>
          <w:color w:val="auto"/>
          <w:kern w:val="0"/>
          <w:sz w:val="24"/>
          <w:highlight w:val="none"/>
          <w:lang w:bidi="ar"/>
        </w:rPr>
        <w:t>TD/T 1055-2019 第三次全国国土调查技术规程 13</w:t>
      </w:r>
    </w:p>
    <w:p w14:paraId="6804D135">
      <w:pPr>
        <w:spacing w:line="360" w:lineRule="auto"/>
        <w:jc w:val="center"/>
        <w:rPr>
          <w:color w:val="auto"/>
          <w:highlight w:val="none"/>
        </w:rPr>
      </w:pPr>
      <w:r>
        <w:rPr>
          <w:color w:val="auto"/>
          <w:highlight w:val="none"/>
        </w:rPr>
        <w:drawing>
          <wp:inline distT="0" distB="0" distL="114300" distR="114300">
            <wp:extent cx="1839595" cy="1270635"/>
            <wp:effectExtent l="0" t="0" r="4445" b="9525"/>
            <wp:docPr id="3584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47" name="图片 11"/>
                    <pic:cNvPicPr>
                      <a:picLocks noChangeAspect="1"/>
                    </pic:cNvPicPr>
                  </pic:nvPicPr>
                  <pic:blipFill>
                    <a:blip r:embed="rId10"/>
                    <a:srcRect l="7259" t="7747" r="3350"/>
                    <a:stretch>
                      <a:fillRect/>
                    </a:stretch>
                  </pic:blipFill>
                  <pic:spPr>
                    <a:xfrm>
                      <a:off x="0" y="0"/>
                      <a:ext cx="1839595" cy="1270635"/>
                    </a:xfrm>
                    <a:prstGeom prst="rect">
                      <a:avLst/>
                    </a:prstGeom>
                    <a:noFill/>
                    <a:ln w="9525">
                      <a:noFill/>
                    </a:ln>
                  </pic:spPr>
                </pic:pic>
              </a:graphicData>
            </a:graphic>
          </wp:inline>
        </w:drawing>
      </w:r>
      <w:r>
        <w:rPr>
          <w:color w:val="auto"/>
          <w:highlight w:val="none"/>
        </w:rPr>
        <w:t xml:space="preserve"> </w:t>
      </w:r>
      <w:r>
        <w:rPr>
          <w:color w:val="auto"/>
          <w:highlight w:val="none"/>
        </w:rPr>
        <w:drawing>
          <wp:inline distT="0" distB="0" distL="114300" distR="114300">
            <wp:extent cx="1811020" cy="1284605"/>
            <wp:effectExtent l="0" t="0" r="2540" b="10795"/>
            <wp:docPr id="3379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9" name="Picture 5"/>
                    <pic:cNvPicPr>
                      <a:picLocks noChangeAspect="1"/>
                    </pic:cNvPicPr>
                  </pic:nvPicPr>
                  <pic:blipFill>
                    <a:blip r:embed="rId11"/>
                    <a:srcRect l="6189"/>
                    <a:stretch>
                      <a:fillRect/>
                    </a:stretch>
                  </pic:blipFill>
                  <pic:spPr>
                    <a:xfrm>
                      <a:off x="0" y="0"/>
                      <a:ext cx="1811020" cy="1284605"/>
                    </a:xfrm>
                    <a:prstGeom prst="rect">
                      <a:avLst/>
                    </a:prstGeom>
                    <a:noFill/>
                    <a:ln w="9525">
                      <a:noFill/>
                    </a:ln>
                  </pic:spPr>
                </pic:pic>
              </a:graphicData>
            </a:graphic>
          </wp:inline>
        </w:drawing>
      </w:r>
      <w:r>
        <w:rPr>
          <w:color w:val="auto"/>
          <w:highlight w:val="none"/>
        </w:rPr>
        <w:t xml:space="preserve"> </w:t>
      </w:r>
      <w:r>
        <w:rPr>
          <w:color w:val="auto"/>
          <w:highlight w:val="none"/>
        </w:rPr>
        <w:drawing>
          <wp:inline distT="0" distB="0" distL="114300" distR="114300">
            <wp:extent cx="1824355" cy="1289685"/>
            <wp:effectExtent l="0" t="0" r="0" b="0"/>
            <wp:docPr id="389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9" name="Picture 2"/>
                    <pic:cNvPicPr>
                      <a:picLocks noChangeAspect="1"/>
                    </pic:cNvPicPr>
                  </pic:nvPicPr>
                  <pic:blipFill>
                    <a:blip r:embed="rId12"/>
                    <a:srcRect l="5351" t="4515" r="4391"/>
                    <a:stretch>
                      <a:fillRect/>
                    </a:stretch>
                  </pic:blipFill>
                  <pic:spPr>
                    <a:xfrm>
                      <a:off x="0" y="0"/>
                      <a:ext cx="1824355" cy="1289685"/>
                    </a:xfrm>
                    <a:prstGeom prst="rect">
                      <a:avLst/>
                    </a:prstGeom>
                    <a:noFill/>
                    <a:ln w="9525">
                      <a:noFill/>
                    </a:ln>
                  </pic:spPr>
                </pic:pic>
              </a:graphicData>
            </a:graphic>
          </wp:inline>
        </w:drawing>
      </w:r>
    </w:p>
    <w:p w14:paraId="1D73D96F">
      <w:pPr>
        <w:spacing w:line="400" w:lineRule="exact"/>
        <w:rPr>
          <w:color w:val="auto"/>
          <w:highlight w:val="none"/>
        </w:rPr>
      </w:pPr>
      <w:r>
        <w:rPr>
          <w:rFonts w:eastAsia="仿宋_GB2312"/>
          <w:color w:val="auto"/>
          <w:sz w:val="24"/>
          <w:highlight w:val="none"/>
        </w:rPr>
        <w:t>种植玉米（耕地农作物）    种植水稻（耕地农作物）   农果间种（耕地作物套种）</w:t>
      </w:r>
    </w:p>
    <w:p w14:paraId="3F7FE791">
      <w:pPr>
        <w:spacing w:line="360" w:lineRule="auto"/>
        <w:jc w:val="center"/>
        <w:rPr>
          <w:color w:val="auto"/>
          <w:highlight w:val="none"/>
        </w:rPr>
      </w:pPr>
      <w:r>
        <w:rPr>
          <w:color w:val="auto"/>
          <w:highlight w:val="none"/>
        </w:rPr>
        <w:drawing>
          <wp:inline distT="0" distB="0" distL="114300" distR="114300">
            <wp:extent cx="1818640" cy="1214755"/>
            <wp:effectExtent l="0" t="0" r="10160" b="4445"/>
            <wp:docPr id="51209" name="图片 12" descr="说明: 说明: 说明: E:\其他园地\八角\197c4d706668e1d30dc7076f94c25e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09" name="图片 12" descr="说明: 说明: 说明: E:\其他园地\八角\197c4d706668e1d30dc7076f94c25eed.jpg"/>
                    <pic:cNvPicPr>
                      <a:picLocks noChangeAspect="1"/>
                    </pic:cNvPicPr>
                  </pic:nvPicPr>
                  <pic:blipFill>
                    <a:blip r:embed="rId13"/>
                    <a:srcRect r="1257" b="9117"/>
                    <a:stretch>
                      <a:fillRect/>
                    </a:stretch>
                  </pic:blipFill>
                  <pic:spPr>
                    <a:xfrm>
                      <a:off x="0" y="0"/>
                      <a:ext cx="1818640" cy="1214755"/>
                    </a:xfrm>
                    <a:prstGeom prst="rect">
                      <a:avLst/>
                    </a:prstGeom>
                    <a:noFill/>
                    <a:ln w="9525">
                      <a:noFill/>
                    </a:ln>
                  </pic:spPr>
                </pic:pic>
              </a:graphicData>
            </a:graphic>
          </wp:inline>
        </w:drawing>
      </w:r>
      <w:r>
        <w:rPr>
          <w:color w:val="auto"/>
          <w:highlight w:val="none"/>
        </w:rPr>
        <w:t xml:space="preserve"> </w:t>
      </w:r>
      <w:r>
        <w:rPr>
          <w:color w:val="auto"/>
          <w:highlight w:val="none"/>
        </w:rPr>
        <w:drawing>
          <wp:inline distT="0" distB="0" distL="114300" distR="114300">
            <wp:extent cx="1817370" cy="1211580"/>
            <wp:effectExtent l="0" t="0" r="11430" b="7620"/>
            <wp:docPr id="4915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6" name="Picture 5"/>
                    <pic:cNvPicPr>
                      <a:picLocks noChangeAspect="1"/>
                    </pic:cNvPicPr>
                  </pic:nvPicPr>
                  <pic:blipFill>
                    <a:blip r:embed="rId14"/>
                    <a:stretch>
                      <a:fillRect/>
                    </a:stretch>
                  </pic:blipFill>
                  <pic:spPr>
                    <a:xfrm>
                      <a:off x="0" y="0"/>
                      <a:ext cx="1817370" cy="1211580"/>
                    </a:xfrm>
                    <a:prstGeom prst="rect">
                      <a:avLst/>
                    </a:prstGeom>
                    <a:noFill/>
                    <a:ln w="9525">
                      <a:noFill/>
                    </a:ln>
                  </pic:spPr>
                </pic:pic>
              </a:graphicData>
            </a:graphic>
          </wp:inline>
        </w:drawing>
      </w:r>
      <w:r>
        <w:rPr>
          <w:color w:val="auto"/>
          <w:highlight w:val="none"/>
        </w:rPr>
        <w:t xml:space="preserve"> </w:t>
      </w:r>
      <w:r>
        <w:rPr>
          <w:color w:val="auto"/>
          <w:highlight w:val="none"/>
        </w:rPr>
        <w:drawing>
          <wp:inline distT="0" distB="0" distL="114300" distR="114300">
            <wp:extent cx="1850390" cy="1236980"/>
            <wp:effectExtent l="0" t="0" r="8890" b="12700"/>
            <wp:docPr id="45065" name="图片 10" descr="说明: 9243461d18d0482e5193fc4987411d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65" name="图片 10" descr="说明: 9243461d18d0482e5193fc4987411d5f"/>
                    <pic:cNvPicPr>
                      <a:picLocks noChangeAspect="1"/>
                    </pic:cNvPicPr>
                  </pic:nvPicPr>
                  <pic:blipFill>
                    <a:blip r:embed="rId15"/>
                    <a:stretch>
                      <a:fillRect/>
                    </a:stretch>
                  </pic:blipFill>
                  <pic:spPr>
                    <a:xfrm>
                      <a:off x="0" y="0"/>
                      <a:ext cx="1850390" cy="1236980"/>
                    </a:xfrm>
                    <a:prstGeom prst="rect">
                      <a:avLst/>
                    </a:prstGeom>
                    <a:noFill/>
                    <a:ln w="9525">
                      <a:noFill/>
                    </a:ln>
                  </pic:spPr>
                </pic:pic>
              </a:graphicData>
            </a:graphic>
          </wp:inline>
        </w:drawing>
      </w:r>
    </w:p>
    <w:p w14:paraId="5932A6C5">
      <w:pPr>
        <w:spacing w:line="400" w:lineRule="exact"/>
        <w:rPr>
          <w:rFonts w:eastAsia="仿宋_GB2312"/>
          <w:color w:val="auto"/>
          <w:sz w:val="24"/>
          <w:highlight w:val="none"/>
        </w:rPr>
      </w:pPr>
      <w:r>
        <w:rPr>
          <w:rFonts w:eastAsia="仿宋_GB2312"/>
          <w:color w:val="auto"/>
          <w:sz w:val="24"/>
          <w:highlight w:val="none"/>
        </w:rPr>
        <w:t>种植八角（园地经济作物） 种植橡胶（园地经济作物） 种植柑橘（园地经济作物）</w:t>
      </w:r>
    </w:p>
    <w:p w14:paraId="4F7F23F7">
      <w:pPr>
        <w:spacing w:line="360" w:lineRule="auto"/>
        <w:rPr>
          <w:color w:val="auto"/>
          <w:highlight w:val="none"/>
        </w:rPr>
      </w:pPr>
      <w:r>
        <w:rPr>
          <w:color w:val="auto"/>
          <w:highlight w:val="none"/>
        </w:rPr>
        <w:drawing>
          <wp:inline distT="0" distB="0" distL="114300" distR="114300">
            <wp:extent cx="1910080" cy="1275080"/>
            <wp:effectExtent l="0" t="0" r="10160" b="5080"/>
            <wp:docPr id="901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21" name="Picture 11"/>
                    <pic:cNvPicPr>
                      <a:picLocks noChangeAspect="1"/>
                    </pic:cNvPicPr>
                  </pic:nvPicPr>
                  <pic:blipFill>
                    <a:blip r:embed="rId16"/>
                    <a:stretch>
                      <a:fillRect/>
                    </a:stretch>
                  </pic:blipFill>
                  <pic:spPr>
                    <a:xfrm>
                      <a:off x="0" y="0"/>
                      <a:ext cx="1910080" cy="1275080"/>
                    </a:xfrm>
                    <a:prstGeom prst="rect">
                      <a:avLst/>
                    </a:prstGeom>
                    <a:noFill/>
                    <a:ln w="9525">
                      <a:noFill/>
                    </a:ln>
                  </pic:spPr>
                </pic:pic>
              </a:graphicData>
            </a:graphic>
          </wp:inline>
        </w:drawing>
      </w:r>
      <w:r>
        <w:rPr>
          <w:color w:val="auto"/>
          <w:highlight w:val="none"/>
        </w:rPr>
        <w:drawing>
          <wp:inline distT="0" distB="0" distL="114300" distR="114300">
            <wp:extent cx="1878965" cy="1254760"/>
            <wp:effectExtent l="0" t="0" r="10795" b="10160"/>
            <wp:docPr id="1105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98" name="Picture 3"/>
                    <pic:cNvPicPr>
                      <a:picLocks noChangeAspect="1"/>
                    </pic:cNvPicPr>
                  </pic:nvPicPr>
                  <pic:blipFill>
                    <a:blip r:embed="rId17"/>
                    <a:stretch>
                      <a:fillRect/>
                    </a:stretch>
                  </pic:blipFill>
                  <pic:spPr>
                    <a:xfrm>
                      <a:off x="0" y="0"/>
                      <a:ext cx="1878965" cy="1254760"/>
                    </a:xfrm>
                    <a:prstGeom prst="rect">
                      <a:avLst/>
                    </a:prstGeom>
                    <a:noFill/>
                    <a:ln w="9525">
                      <a:noFill/>
                    </a:ln>
                  </pic:spPr>
                </pic:pic>
              </a:graphicData>
            </a:graphic>
          </wp:inline>
        </w:drawing>
      </w:r>
      <w:r>
        <w:rPr>
          <w:color w:val="auto"/>
          <w:highlight w:val="none"/>
        </w:rPr>
        <w:drawing>
          <wp:inline distT="0" distB="0" distL="114300" distR="114300">
            <wp:extent cx="1859280" cy="1240790"/>
            <wp:effectExtent l="0" t="0" r="0" b="8890"/>
            <wp:docPr id="1024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06" name="Picture 2"/>
                    <pic:cNvPicPr>
                      <a:picLocks noChangeAspect="1"/>
                    </pic:cNvPicPr>
                  </pic:nvPicPr>
                  <pic:blipFill>
                    <a:blip r:embed="rId18"/>
                    <a:stretch>
                      <a:fillRect/>
                    </a:stretch>
                  </pic:blipFill>
                  <pic:spPr>
                    <a:xfrm>
                      <a:off x="0" y="0"/>
                      <a:ext cx="1859280" cy="1240790"/>
                    </a:xfrm>
                    <a:prstGeom prst="rect">
                      <a:avLst/>
                    </a:prstGeom>
                    <a:noFill/>
                    <a:ln w="9525">
                      <a:noFill/>
                    </a:ln>
                  </pic:spPr>
                </pic:pic>
              </a:graphicData>
            </a:graphic>
          </wp:inline>
        </w:drawing>
      </w:r>
    </w:p>
    <w:p w14:paraId="349D0567">
      <w:pPr>
        <w:spacing w:line="360" w:lineRule="auto"/>
        <w:rPr>
          <w:color w:val="auto"/>
          <w:highlight w:val="none"/>
        </w:rPr>
      </w:pPr>
      <w:r>
        <w:rPr>
          <w:rFonts w:eastAsia="仿宋_GB2312"/>
          <w:color w:val="auto"/>
          <w:kern w:val="0"/>
          <w:sz w:val="24"/>
          <w:highlight w:val="none"/>
          <w:lang w:bidi="ar"/>
        </w:rPr>
        <w:t>有建筑物主体应拍出能反映用途的牌匾、层高、结构等全貌，拍摄的字体应清晰可见</w:t>
      </w:r>
      <w:r>
        <w:rPr>
          <w:color w:val="auto"/>
          <w:highlight w:val="none"/>
        </w:rPr>
        <w:drawing>
          <wp:inline distT="0" distB="0" distL="114300" distR="114300">
            <wp:extent cx="1795780" cy="1281430"/>
            <wp:effectExtent l="0" t="0" r="2540" b="13970"/>
            <wp:docPr id="117768" name="图片 10" descr="说明: https://timgsa.baidu.com/timg?image&amp;quality=80&amp;size=b9999_10000&amp;sec=1490185158082&amp;di=9d0171b5e30a147364efb525b02a937d&amp;imgtype=0&amp;src=http%3A%2F%2Fwww.hnyljc.com%2FeWebEditor_pic%2F2011921161034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68" name="图片 10" descr="说明: https://timgsa.baidu.com/timg?image&amp;quality=80&amp;size=b9999_10000&amp;sec=1490185158082&amp;di=9d0171b5e30a147364efb525b02a937d&amp;imgtype=0&amp;src=http%3A%2F%2Fwww.hnyljc.com%2FeWebEditor_pic%2F2011921161034177.jpg"/>
                    <pic:cNvPicPr>
                      <a:picLocks noChangeAspect="1"/>
                    </pic:cNvPicPr>
                  </pic:nvPicPr>
                  <pic:blipFill>
                    <a:blip r:embed="rId19"/>
                    <a:srcRect r="6247"/>
                    <a:stretch>
                      <a:fillRect/>
                    </a:stretch>
                  </pic:blipFill>
                  <pic:spPr>
                    <a:xfrm>
                      <a:off x="0" y="0"/>
                      <a:ext cx="1795780" cy="1281430"/>
                    </a:xfrm>
                    <a:prstGeom prst="rect">
                      <a:avLst/>
                    </a:prstGeom>
                    <a:noFill/>
                    <a:ln w="9525">
                      <a:noFill/>
                    </a:ln>
                  </pic:spPr>
                </pic:pic>
              </a:graphicData>
            </a:graphic>
          </wp:inline>
        </w:drawing>
      </w:r>
      <w:r>
        <w:rPr>
          <w:color w:val="auto"/>
          <w:highlight w:val="none"/>
        </w:rPr>
        <w:t xml:space="preserve"> </w:t>
      </w:r>
      <w:r>
        <w:rPr>
          <w:color w:val="auto"/>
          <w:highlight w:val="none"/>
        </w:rPr>
        <w:drawing>
          <wp:inline distT="0" distB="0" distL="114300" distR="114300">
            <wp:extent cx="1780540" cy="1281430"/>
            <wp:effectExtent l="0" t="0" r="2540" b="13970"/>
            <wp:docPr id="11776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67" name="Picture 9"/>
                    <pic:cNvPicPr>
                      <a:picLocks noChangeAspect="1"/>
                    </pic:cNvPicPr>
                  </pic:nvPicPr>
                  <pic:blipFill>
                    <a:blip r:embed="rId20"/>
                    <a:srcRect r="7337"/>
                    <a:stretch>
                      <a:fillRect/>
                    </a:stretch>
                  </pic:blipFill>
                  <pic:spPr>
                    <a:xfrm>
                      <a:off x="0" y="0"/>
                      <a:ext cx="1780540" cy="1281430"/>
                    </a:xfrm>
                    <a:prstGeom prst="rect">
                      <a:avLst/>
                    </a:prstGeom>
                    <a:noFill/>
                    <a:ln w="9525">
                      <a:noFill/>
                    </a:ln>
                  </pic:spPr>
                </pic:pic>
              </a:graphicData>
            </a:graphic>
          </wp:inline>
        </w:drawing>
      </w:r>
      <w:r>
        <w:rPr>
          <w:color w:val="auto"/>
          <w:highlight w:val="none"/>
        </w:rPr>
        <w:t xml:space="preserve"> </w:t>
      </w:r>
      <w:r>
        <w:rPr>
          <w:color w:val="auto"/>
          <w:highlight w:val="none"/>
        </w:rPr>
        <w:drawing>
          <wp:inline distT="0" distB="0" distL="114300" distR="114300">
            <wp:extent cx="1943100" cy="1273810"/>
            <wp:effectExtent l="0" t="0" r="0" b="0"/>
            <wp:docPr id="20" name="图片占位符 15" descr="578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占位符 15" descr="578889"/>
                    <pic:cNvPicPr>
                      <a:picLocks noChangeAspect="1"/>
                    </pic:cNvPicPr>
                  </pic:nvPicPr>
                  <pic:blipFill>
                    <a:blip r:embed="rId21"/>
                    <a:srcRect l="6314" t="-513" r="9369"/>
                    <a:stretch>
                      <a:fillRect/>
                    </a:stretch>
                  </pic:blipFill>
                  <pic:spPr>
                    <a:xfrm>
                      <a:off x="0" y="0"/>
                      <a:ext cx="1943100" cy="1273810"/>
                    </a:xfrm>
                    <a:prstGeom prst="rect">
                      <a:avLst/>
                    </a:prstGeom>
                  </pic:spPr>
                </pic:pic>
              </a:graphicData>
            </a:graphic>
          </wp:inline>
        </w:drawing>
      </w:r>
    </w:p>
    <w:p w14:paraId="670A0A5E">
      <w:pPr>
        <w:spacing w:line="360" w:lineRule="auto"/>
        <w:jc w:val="center"/>
        <w:rPr>
          <w:rFonts w:eastAsia="仿宋_GB2312"/>
          <w:color w:val="auto"/>
          <w:kern w:val="0"/>
          <w:sz w:val="24"/>
          <w:highlight w:val="none"/>
          <w:lang w:bidi="ar"/>
        </w:rPr>
      </w:pPr>
      <w:r>
        <w:rPr>
          <w:rFonts w:eastAsia="仿宋_GB2312"/>
          <w:color w:val="auto"/>
          <w:kern w:val="0"/>
          <w:sz w:val="24"/>
          <w:highlight w:val="none"/>
          <w:lang w:bidi="ar"/>
        </w:rPr>
        <w:t>采矿用地拍摄挖掘、传送运输等机器设备能反映动工情况的照片（采石、采沙</w:t>
      </w:r>
      <w:r>
        <w:rPr>
          <w:rFonts w:hint="eastAsia" w:eastAsia="仿宋_GB2312"/>
          <w:color w:val="auto"/>
          <w:kern w:val="0"/>
          <w:sz w:val="24"/>
          <w:highlight w:val="none"/>
          <w:lang w:bidi="ar"/>
        </w:rPr>
        <w:t>等</w:t>
      </w:r>
      <w:r>
        <w:rPr>
          <w:rFonts w:eastAsia="仿宋_GB2312"/>
          <w:color w:val="auto"/>
          <w:kern w:val="0"/>
          <w:sz w:val="24"/>
          <w:highlight w:val="none"/>
          <w:lang w:bidi="ar"/>
        </w:rPr>
        <w:t>）</w:t>
      </w:r>
    </w:p>
    <w:p w14:paraId="159D4902">
      <w:pPr>
        <w:spacing w:line="360" w:lineRule="auto"/>
        <w:rPr>
          <w:color w:val="auto"/>
          <w:sz w:val="24"/>
          <w:highlight w:val="none"/>
        </w:rPr>
      </w:pPr>
      <w:r>
        <w:rPr>
          <w:color w:val="auto"/>
          <w:highlight w:val="none"/>
        </w:rPr>
        <w:drawing>
          <wp:inline distT="0" distB="0" distL="114300" distR="114300">
            <wp:extent cx="1875155" cy="1271905"/>
            <wp:effectExtent l="0" t="0" r="14605" b="8255"/>
            <wp:docPr id="100"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99"/>
                    <pic:cNvPicPr>
                      <a:picLocks noChangeAspect="1"/>
                    </pic:cNvPicPr>
                  </pic:nvPicPr>
                  <pic:blipFill>
                    <a:blip r:embed="rId22"/>
                    <a:srcRect r="19956"/>
                    <a:stretch>
                      <a:fillRect/>
                    </a:stretch>
                  </pic:blipFill>
                  <pic:spPr>
                    <a:xfrm>
                      <a:off x="0" y="0"/>
                      <a:ext cx="1875155" cy="1271905"/>
                    </a:xfrm>
                    <a:prstGeom prst="rect">
                      <a:avLst/>
                    </a:prstGeom>
                    <a:noFill/>
                    <a:ln w="9525">
                      <a:noFill/>
                    </a:ln>
                  </pic:spPr>
                </pic:pic>
              </a:graphicData>
            </a:graphic>
          </wp:inline>
        </w:drawing>
      </w:r>
      <w:r>
        <w:rPr>
          <w:color w:val="auto"/>
          <w:highlight w:val="none"/>
        </w:rPr>
        <w:t xml:space="preserve"> </w:t>
      </w:r>
      <w:r>
        <w:rPr>
          <w:color w:val="auto"/>
          <w:sz w:val="24"/>
          <w:highlight w:val="none"/>
        </w:rPr>
        <w:drawing>
          <wp:inline distT="0" distB="0" distL="114300" distR="114300">
            <wp:extent cx="1823085" cy="1251585"/>
            <wp:effectExtent l="0" t="0" r="5715" b="13335"/>
            <wp:docPr id="18"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descr="IMG_256"/>
                    <pic:cNvPicPr>
                      <a:picLocks noChangeAspect="1"/>
                    </pic:cNvPicPr>
                  </pic:nvPicPr>
                  <pic:blipFill>
                    <a:blip r:embed="rId23"/>
                    <a:srcRect l="1952" t="951" r="16834"/>
                    <a:stretch>
                      <a:fillRect/>
                    </a:stretch>
                  </pic:blipFill>
                  <pic:spPr>
                    <a:xfrm>
                      <a:off x="0" y="0"/>
                      <a:ext cx="1823085" cy="1251585"/>
                    </a:xfrm>
                    <a:prstGeom prst="rect">
                      <a:avLst/>
                    </a:prstGeom>
                    <a:noFill/>
                    <a:ln w="9525">
                      <a:noFill/>
                    </a:ln>
                  </pic:spPr>
                </pic:pic>
              </a:graphicData>
            </a:graphic>
          </wp:inline>
        </w:drawing>
      </w:r>
      <w:r>
        <w:rPr>
          <w:color w:val="auto"/>
          <w:sz w:val="24"/>
          <w:highlight w:val="none"/>
        </w:rPr>
        <w:t xml:space="preserve"> </w:t>
      </w:r>
      <w:r>
        <w:rPr>
          <w:color w:val="auto"/>
          <w:sz w:val="24"/>
          <w:highlight w:val="none"/>
        </w:rPr>
        <w:drawing>
          <wp:inline distT="0" distB="0" distL="114300" distR="114300">
            <wp:extent cx="1811655" cy="1252855"/>
            <wp:effectExtent l="0" t="0" r="1905" b="12065"/>
            <wp:docPr id="19"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descr="IMG_256"/>
                    <pic:cNvPicPr>
                      <a:picLocks noChangeAspect="1"/>
                    </pic:cNvPicPr>
                  </pic:nvPicPr>
                  <pic:blipFill>
                    <a:blip r:embed="rId24"/>
                    <a:srcRect t="7422" r="24691"/>
                    <a:stretch>
                      <a:fillRect/>
                    </a:stretch>
                  </pic:blipFill>
                  <pic:spPr>
                    <a:xfrm>
                      <a:off x="0" y="0"/>
                      <a:ext cx="1811655" cy="1252855"/>
                    </a:xfrm>
                    <a:prstGeom prst="rect">
                      <a:avLst/>
                    </a:prstGeom>
                    <a:noFill/>
                    <a:ln w="9525">
                      <a:noFill/>
                    </a:ln>
                  </pic:spPr>
                </pic:pic>
              </a:graphicData>
            </a:graphic>
          </wp:inline>
        </w:drawing>
      </w:r>
    </w:p>
    <w:p w14:paraId="64DA5563">
      <w:pPr>
        <w:spacing w:line="400" w:lineRule="exact"/>
        <w:jc w:val="center"/>
        <w:rPr>
          <w:rFonts w:eastAsia="仿宋_GB2312"/>
          <w:color w:val="auto"/>
          <w:kern w:val="0"/>
          <w:sz w:val="24"/>
          <w:highlight w:val="none"/>
          <w:lang w:bidi="ar"/>
        </w:rPr>
      </w:pPr>
      <w:r>
        <w:rPr>
          <w:rFonts w:eastAsia="仿宋_GB2312"/>
          <w:color w:val="auto"/>
          <w:kern w:val="0"/>
          <w:sz w:val="24"/>
          <w:highlight w:val="none"/>
          <w:lang w:bidi="ar"/>
        </w:rPr>
        <w:t>项目临时用地应拍摄项目主体挂牌</w:t>
      </w:r>
    </w:p>
    <w:p w14:paraId="5A931A98">
      <w:pPr>
        <w:spacing w:line="360" w:lineRule="auto"/>
        <w:jc w:val="center"/>
        <w:rPr>
          <w:color w:val="auto"/>
          <w:highlight w:val="none"/>
        </w:rPr>
      </w:pPr>
      <w:r>
        <w:rPr>
          <w:color w:val="auto"/>
          <w:highlight w:val="none"/>
        </w:rPr>
        <w:drawing>
          <wp:inline distT="0" distB="0" distL="114300" distR="114300">
            <wp:extent cx="1839595" cy="1325245"/>
            <wp:effectExtent l="0" t="0" r="4445" b="635"/>
            <wp:docPr id="167944" name="图片 10" descr="https://timgsa.baidu.com/timg?image&amp;quality=80&amp;size=b10000_10000&amp;sec=1491794739&amp;di=b0527e6af112d9acdf7bef4874360f77&amp;src=http://s10.sinaimg.cn/mw690/58f16a47xd07ec3769c89&amp;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44" name="图片 10" descr="https://timgsa.baidu.com/timg?image&amp;quality=80&amp;size=b10000_10000&amp;sec=1491794739&amp;di=b0527e6af112d9acdf7bef4874360f77&amp;src=http://s10.sinaimg.cn/mw690/58f16a47xd07ec3769c89&amp;690"/>
                    <pic:cNvPicPr>
                      <a:picLocks noChangeAspect="1"/>
                    </pic:cNvPicPr>
                  </pic:nvPicPr>
                  <pic:blipFill>
                    <a:blip r:embed="rId25"/>
                    <a:srcRect r="7136"/>
                    <a:stretch>
                      <a:fillRect/>
                    </a:stretch>
                  </pic:blipFill>
                  <pic:spPr>
                    <a:xfrm>
                      <a:off x="0" y="0"/>
                      <a:ext cx="1839595" cy="1325245"/>
                    </a:xfrm>
                    <a:prstGeom prst="rect">
                      <a:avLst/>
                    </a:prstGeom>
                    <a:noFill/>
                    <a:ln w="9525">
                      <a:noFill/>
                    </a:ln>
                  </pic:spPr>
                </pic:pic>
              </a:graphicData>
            </a:graphic>
          </wp:inline>
        </w:drawing>
      </w:r>
      <w:r>
        <w:rPr>
          <w:color w:val="auto"/>
          <w:highlight w:val="none"/>
        </w:rPr>
        <w:t xml:space="preserve"> </w:t>
      </w:r>
      <w:r>
        <w:rPr>
          <w:color w:val="auto"/>
          <w:highlight w:val="none"/>
        </w:rPr>
        <w:drawing>
          <wp:inline distT="0" distB="0" distL="114300" distR="114300">
            <wp:extent cx="1791335" cy="1291590"/>
            <wp:effectExtent l="0" t="0" r="6985" b="3810"/>
            <wp:docPr id="1740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87" name="Picture 4"/>
                    <pic:cNvPicPr>
                      <a:picLocks noChangeAspect="1"/>
                    </pic:cNvPicPr>
                  </pic:nvPicPr>
                  <pic:blipFill>
                    <a:blip r:embed="rId26"/>
                    <a:srcRect r="7420"/>
                    <a:stretch>
                      <a:fillRect/>
                    </a:stretch>
                  </pic:blipFill>
                  <pic:spPr>
                    <a:xfrm>
                      <a:off x="0" y="0"/>
                      <a:ext cx="1791335" cy="1291590"/>
                    </a:xfrm>
                    <a:prstGeom prst="rect">
                      <a:avLst/>
                    </a:prstGeom>
                    <a:noFill/>
                    <a:ln w="9525">
                      <a:noFill/>
                    </a:ln>
                  </pic:spPr>
                </pic:pic>
              </a:graphicData>
            </a:graphic>
          </wp:inline>
        </w:drawing>
      </w:r>
      <w:r>
        <w:rPr>
          <w:color w:val="auto"/>
          <w:highlight w:val="none"/>
        </w:rPr>
        <w:t xml:space="preserve"> </w:t>
      </w:r>
      <w:r>
        <w:rPr>
          <w:color w:val="auto"/>
          <w:highlight w:val="none"/>
        </w:rPr>
        <w:drawing>
          <wp:inline distT="0" distB="0" distL="114300" distR="114300">
            <wp:extent cx="1762760" cy="1302385"/>
            <wp:effectExtent l="0" t="0" r="5080" b="8255"/>
            <wp:docPr id="1740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86" name="Picture 2"/>
                    <pic:cNvPicPr>
                      <a:picLocks noChangeAspect="1"/>
                    </pic:cNvPicPr>
                  </pic:nvPicPr>
                  <pic:blipFill>
                    <a:blip r:embed="rId27"/>
                    <a:srcRect r="9665"/>
                    <a:stretch>
                      <a:fillRect/>
                    </a:stretch>
                  </pic:blipFill>
                  <pic:spPr>
                    <a:xfrm>
                      <a:off x="0" y="0"/>
                      <a:ext cx="1762760" cy="1302385"/>
                    </a:xfrm>
                    <a:prstGeom prst="rect">
                      <a:avLst/>
                    </a:prstGeom>
                    <a:noFill/>
                    <a:ln w="9525">
                      <a:noFill/>
                    </a:ln>
                  </pic:spPr>
                </pic:pic>
              </a:graphicData>
            </a:graphic>
          </wp:inline>
        </w:drawing>
      </w:r>
    </w:p>
    <w:p w14:paraId="6C1BE82D">
      <w:pPr>
        <w:spacing w:line="360" w:lineRule="auto"/>
        <w:jc w:val="center"/>
        <w:rPr>
          <w:rFonts w:eastAsia="仿宋_GB2312"/>
          <w:color w:val="auto"/>
          <w:kern w:val="0"/>
          <w:sz w:val="24"/>
          <w:highlight w:val="none"/>
          <w:lang w:bidi="ar"/>
        </w:rPr>
      </w:pPr>
      <w:r>
        <w:rPr>
          <w:rFonts w:eastAsia="仿宋_GB2312"/>
          <w:color w:val="auto"/>
          <w:kern w:val="0"/>
          <w:sz w:val="24"/>
          <w:highlight w:val="none"/>
          <w:lang w:bidi="ar"/>
        </w:rPr>
        <w:t>铁路公路应拍摄路面是否通达等建设状态，同一线状地物宜截取1-2典型地段。</w:t>
      </w:r>
      <w:bookmarkEnd w:id="2"/>
      <w:bookmarkEnd w:id="3"/>
      <w:bookmarkEnd w:id="4"/>
      <w:bookmarkEnd w:id="5"/>
      <w:bookmarkEnd w:id="6"/>
      <w:bookmarkEnd w:id="7"/>
      <w:bookmarkEnd w:id="8"/>
      <w:bookmarkEnd w:id="9"/>
    </w:p>
    <w:p w14:paraId="4D3E423D">
      <w:pPr>
        <w:spacing w:line="360" w:lineRule="auto"/>
        <w:ind w:firstLine="643" w:firstLineChars="200"/>
        <w:jc w:val="left"/>
        <w:rPr>
          <w:rFonts w:eastAsia="仿宋_GB2312"/>
          <w:b/>
          <w:bCs/>
          <w:color w:val="auto"/>
          <w:sz w:val="32"/>
          <w:szCs w:val="32"/>
          <w:highlight w:val="none"/>
        </w:rPr>
      </w:pPr>
      <w:r>
        <w:rPr>
          <w:rFonts w:eastAsia="仿宋_GB2312"/>
          <w:b/>
          <w:bCs/>
          <w:color w:val="auto"/>
          <w:sz w:val="32"/>
          <w:szCs w:val="32"/>
          <w:highlight w:val="none"/>
        </w:rPr>
        <w:t>（三）外业实地调查</w:t>
      </w:r>
    </w:p>
    <w:p w14:paraId="27CA6FC7">
      <w:pPr>
        <w:pStyle w:val="10"/>
        <w:keepNext w:val="0"/>
        <w:keepLines w:val="0"/>
        <w:pageBreakBefore w:val="0"/>
        <w:widowControl/>
        <w:kinsoku/>
        <w:wordWrap/>
        <w:overflowPunct/>
        <w:topLinePunct w:val="0"/>
        <w:autoSpaceDE/>
        <w:autoSpaceDN/>
        <w:bidi w:val="0"/>
        <w:adjustRightInd/>
        <w:snapToGrid/>
        <w:ind w:firstLine="640" w:firstLineChars="200"/>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color w:val="auto"/>
          <w:kern w:val="2"/>
          <w:sz w:val="32"/>
          <w:szCs w:val="32"/>
          <w:highlight w:val="none"/>
          <w:lang w:val="en-US" w:eastAsia="zh-CN" w:bidi="ar-SA"/>
        </w:rPr>
        <w:t>包括资料收集、确定外业调查主体、制作外业指引图斑、外业调查内容、实地调查举证、生成举证数据包。</w:t>
      </w:r>
    </w:p>
    <w:p w14:paraId="248D393B">
      <w:pPr>
        <w:pStyle w:val="10"/>
        <w:keepNext w:val="0"/>
        <w:keepLines w:val="0"/>
        <w:pageBreakBefore w:val="0"/>
        <w:widowControl/>
        <w:kinsoku/>
        <w:wordWrap/>
        <w:overflowPunct/>
        <w:topLinePunct w:val="0"/>
        <w:autoSpaceDE/>
        <w:autoSpaceDN/>
        <w:bidi w:val="0"/>
        <w:adjustRightInd/>
        <w:snapToGrid/>
        <w:ind w:firstLine="643" w:firstLineChars="200"/>
        <w:textAlignment w:val="auto"/>
        <w:rPr>
          <w:rFonts w:hint="default" w:ascii="Times New Roman" w:hAnsi="Times New Roman" w:eastAsia="仿宋_GB2312" w:cs="Times New Roman"/>
          <w:b/>
          <w:bCs/>
          <w:color w:val="auto"/>
          <w:kern w:val="2"/>
          <w:sz w:val="32"/>
          <w:szCs w:val="32"/>
          <w:highlight w:val="none"/>
          <w:lang w:val="en-US" w:eastAsia="zh-CN" w:bidi="ar-SA"/>
        </w:rPr>
      </w:pPr>
      <w:r>
        <w:rPr>
          <w:rFonts w:hint="default" w:ascii="Times New Roman" w:hAnsi="Times New Roman" w:eastAsia="仿宋_GB2312" w:cs="Times New Roman"/>
          <w:b/>
          <w:bCs/>
          <w:color w:val="auto"/>
          <w:kern w:val="2"/>
          <w:sz w:val="32"/>
          <w:szCs w:val="32"/>
          <w:highlight w:val="none"/>
          <w:lang w:val="en-US" w:eastAsia="zh-CN" w:bidi="ar-SA"/>
        </w:rPr>
        <w:t>1.资料收集</w:t>
      </w:r>
    </w:p>
    <w:p w14:paraId="0A04B81D">
      <w:pPr>
        <w:pStyle w:val="10"/>
        <w:keepNext w:val="0"/>
        <w:keepLines w:val="0"/>
        <w:pageBreakBefore w:val="0"/>
        <w:widowControl/>
        <w:kinsoku/>
        <w:wordWrap/>
        <w:overflowPunct/>
        <w:topLinePunct w:val="0"/>
        <w:autoSpaceDE/>
        <w:autoSpaceDN/>
        <w:bidi w:val="0"/>
        <w:adjustRightInd/>
        <w:snapToGrid/>
        <w:ind w:firstLine="640" w:firstLineChars="200"/>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color w:val="auto"/>
          <w:kern w:val="2"/>
          <w:sz w:val="32"/>
          <w:szCs w:val="32"/>
          <w:highlight w:val="none"/>
          <w:lang w:val="en-US" w:eastAsia="zh-CN" w:bidi="ar-SA"/>
        </w:rPr>
        <w:t>主要涉及自然资源领域关于国土变更调查、全地类变化监测、卫片执法监测、耕地卫片督察、田长巡田监测等自然资源调查监测成果；最新遥感影像；永久基本农田保护、生态保护红线、城镇开发边界三区三线基本红线成果；自然资源用地用矿管理数据。相关部门已有的自然保护地、生态功能区数据，收集整理自然资源调查监测外业实践经验。其中自然资源调查监测成果的收集，也是为了多项自然资源调查监测数据间的衔接，对于交叉重叠部分进行标记，避免重复调查工作</w:t>
      </w:r>
      <w:r>
        <w:rPr>
          <w:rFonts w:hint="eastAsia" w:ascii="Times New Roman" w:hAnsi="Times New Roman" w:eastAsia="仿宋_GB2312" w:cs="Times New Roman"/>
          <w:color w:val="auto"/>
          <w:kern w:val="2"/>
          <w:sz w:val="32"/>
          <w:szCs w:val="32"/>
          <w:highlight w:val="none"/>
          <w:lang w:val="en-US" w:eastAsia="zh-CN" w:bidi="ar-SA"/>
        </w:rPr>
        <w:t>；管理信息的收集则是为了更好的制作外业调查图斑，标记外业调查重点内容等。</w:t>
      </w:r>
    </w:p>
    <w:p w14:paraId="2F8AFB34">
      <w:pPr>
        <w:pStyle w:val="10"/>
        <w:keepNext w:val="0"/>
        <w:keepLines w:val="0"/>
        <w:pageBreakBefore w:val="0"/>
        <w:widowControl/>
        <w:kinsoku/>
        <w:wordWrap/>
        <w:overflowPunct/>
        <w:topLinePunct w:val="0"/>
        <w:autoSpaceDE/>
        <w:autoSpaceDN/>
        <w:bidi w:val="0"/>
        <w:adjustRightInd/>
        <w:snapToGrid/>
        <w:ind w:firstLine="643" w:firstLineChars="200"/>
        <w:textAlignment w:val="auto"/>
        <w:rPr>
          <w:rFonts w:hint="default" w:ascii="Times New Roman" w:hAnsi="Times New Roman" w:eastAsia="仿宋_GB2312" w:cs="Times New Roman"/>
          <w:b/>
          <w:bCs/>
          <w:color w:val="auto"/>
          <w:kern w:val="2"/>
          <w:sz w:val="32"/>
          <w:szCs w:val="32"/>
          <w:highlight w:val="none"/>
          <w:lang w:val="en-US" w:eastAsia="zh-CN" w:bidi="ar-SA"/>
        </w:rPr>
      </w:pPr>
      <w:r>
        <w:rPr>
          <w:rFonts w:hint="default" w:ascii="Times New Roman" w:hAnsi="Times New Roman" w:eastAsia="仿宋_GB2312" w:cs="Times New Roman"/>
          <w:b/>
          <w:bCs/>
          <w:color w:val="auto"/>
          <w:kern w:val="2"/>
          <w:sz w:val="32"/>
          <w:szCs w:val="32"/>
          <w:highlight w:val="none"/>
          <w:lang w:val="en-US" w:eastAsia="zh-CN" w:bidi="ar-SA"/>
        </w:rPr>
        <w:t>2.确定外业调查主体</w:t>
      </w:r>
    </w:p>
    <w:p w14:paraId="09B23C27">
      <w:pPr>
        <w:pStyle w:val="10"/>
        <w:keepNext w:val="0"/>
        <w:keepLines w:val="0"/>
        <w:pageBreakBefore w:val="0"/>
        <w:widowControl/>
        <w:kinsoku/>
        <w:wordWrap/>
        <w:overflowPunct/>
        <w:topLinePunct w:val="0"/>
        <w:autoSpaceDE/>
        <w:autoSpaceDN/>
        <w:bidi w:val="0"/>
        <w:adjustRightInd/>
        <w:snapToGrid/>
        <w:ind w:firstLine="640" w:firstLineChars="200"/>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color w:val="auto"/>
          <w:kern w:val="2"/>
          <w:sz w:val="32"/>
          <w:szCs w:val="32"/>
          <w:highlight w:val="none"/>
          <w:lang w:val="en-US" w:eastAsia="zh-CN" w:bidi="ar-SA"/>
        </w:rPr>
        <w:t>依据TD/T 1010-2015土地利用动态遥感监测规程对于变化信息发现、提取的要求，本外业技术规范规定外业调查主体确定是通过采用计算机自动识别与人机交互相结合的方法，客观对比、分析影像的纹理、色调、位置、形状、范围和土地利用类型等特征发生的实际变化，参考土地利用数据库，沿影像特征发生变化的区域边界，准确勾绘成闭合图斑界线，提取土地利用变化信息，采集数据应存储为地理空间信息通用数据格式。</w:t>
      </w:r>
    </w:p>
    <w:p w14:paraId="77168FF0">
      <w:pPr>
        <w:pStyle w:val="10"/>
        <w:keepNext w:val="0"/>
        <w:keepLines w:val="0"/>
        <w:pageBreakBefore w:val="0"/>
        <w:widowControl/>
        <w:kinsoku/>
        <w:wordWrap/>
        <w:overflowPunct/>
        <w:topLinePunct w:val="0"/>
        <w:autoSpaceDE/>
        <w:autoSpaceDN/>
        <w:bidi w:val="0"/>
        <w:adjustRightInd/>
        <w:snapToGrid/>
        <w:spacing w:line="240" w:lineRule="auto"/>
        <w:ind w:firstLine="425"/>
        <w:jc w:val="center"/>
        <w:textAlignment w:val="auto"/>
        <w:rPr>
          <w:color w:val="auto"/>
          <w:sz w:val="24"/>
          <w:szCs w:val="28"/>
          <w:highlight w:val="none"/>
          <w:lang w:bidi="ar"/>
        </w:rPr>
      </w:pPr>
      <w:r>
        <w:rPr>
          <w:color w:val="auto"/>
          <w:highlight w:val="none"/>
          <w:bdr w:val="single" w:color="auto" w:sz="4" w:space="0"/>
        </w:rPr>
        <w:drawing>
          <wp:inline distT="0" distB="0" distL="114300" distR="114300">
            <wp:extent cx="5400040" cy="1409065"/>
            <wp:effectExtent l="0" t="0" r="10160" b="8255"/>
            <wp:docPr id="11" name="图片 11" descr="173043153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730431532244"/>
                    <pic:cNvPicPr>
                      <a:picLocks noChangeAspect="1"/>
                    </pic:cNvPicPr>
                  </pic:nvPicPr>
                  <pic:blipFill>
                    <a:blip r:embed="rId28"/>
                    <a:stretch>
                      <a:fillRect/>
                    </a:stretch>
                  </pic:blipFill>
                  <pic:spPr>
                    <a:xfrm>
                      <a:off x="0" y="0"/>
                      <a:ext cx="5400040" cy="1409065"/>
                    </a:xfrm>
                    <a:prstGeom prst="rect">
                      <a:avLst/>
                    </a:prstGeom>
                  </pic:spPr>
                </pic:pic>
              </a:graphicData>
            </a:graphic>
          </wp:inline>
        </w:drawing>
      </w:r>
      <w:r>
        <w:rPr>
          <w:color w:val="auto"/>
          <w:sz w:val="24"/>
          <w:szCs w:val="28"/>
          <w:highlight w:val="none"/>
          <w:lang w:bidi="ar"/>
        </w:rPr>
        <w:t>TD/T 1010-2015土地利用动态遥感监测规程 6</w:t>
      </w:r>
    </w:p>
    <w:p w14:paraId="6E8BAB26">
      <w:pPr>
        <w:pStyle w:val="10"/>
        <w:keepNext w:val="0"/>
        <w:keepLines w:val="0"/>
        <w:pageBreakBefore w:val="0"/>
        <w:widowControl/>
        <w:kinsoku/>
        <w:wordWrap/>
        <w:overflowPunct/>
        <w:topLinePunct w:val="0"/>
        <w:autoSpaceDE/>
        <w:autoSpaceDN/>
        <w:bidi w:val="0"/>
        <w:adjustRightInd/>
        <w:snapToGrid/>
        <w:ind w:firstLine="643" w:firstLineChars="200"/>
        <w:textAlignment w:val="auto"/>
        <w:rPr>
          <w:rFonts w:hint="default" w:ascii="Times New Roman" w:hAnsi="Times New Roman" w:eastAsia="仿宋_GB2312" w:cs="Times New Roman"/>
          <w:b/>
          <w:bCs/>
          <w:color w:val="auto"/>
          <w:kern w:val="2"/>
          <w:sz w:val="32"/>
          <w:szCs w:val="32"/>
          <w:highlight w:val="none"/>
          <w:lang w:val="en-US" w:eastAsia="zh-CN" w:bidi="ar-SA"/>
        </w:rPr>
      </w:pPr>
      <w:r>
        <w:rPr>
          <w:rFonts w:hint="default" w:ascii="Times New Roman" w:hAnsi="Times New Roman" w:eastAsia="仿宋_GB2312" w:cs="Times New Roman"/>
          <w:b/>
          <w:bCs/>
          <w:color w:val="auto"/>
          <w:kern w:val="2"/>
          <w:sz w:val="32"/>
          <w:szCs w:val="32"/>
          <w:highlight w:val="none"/>
          <w:lang w:val="en-US" w:eastAsia="zh-CN" w:bidi="ar-SA"/>
        </w:rPr>
        <w:t>3.制作外业指引图斑</w:t>
      </w:r>
    </w:p>
    <w:p w14:paraId="6B6ECCB1">
      <w:pPr>
        <w:pStyle w:val="10"/>
        <w:keepNext w:val="0"/>
        <w:keepLines w:val="0"/>
        <w:pageBreakBefore w:val="0"/>
        <w:widowControl/>
        <w:kinsoku/>
        <w:wordWrap/>
        <w:overflowPunct/>
        <w:topLinePunct w:val="0"/>
        <w:autoSpaceDE/>
        <w:autoSpaceDN/>
        <w:bidi w:val="0"/>
        <w:adjustRightInd/>
        <w:snapToGrid/>
        <w:ind w:firstLine="640" w:firstLineChars="200"/>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color w:val="auto"/>
          <w:kern w:val="2"/>
          <w:sz w:val="32"/>
          <w:szCs w:val="32"/>
          <w:highlight w:val="none"/>
          <w:lang w:val="en-US" w:eastAsia="zh-CN" w:bidi="ar-SA"/>
        </w:rPr>
        <w:t>主要参考TD/T 1010-2015土地利用动态遥感监测规程监测图斑附录A属性结构</w:t>
      </w:r>
      <w:r>
        <w:rPr>
          <w:rFonts w:hint="eastAsia" w:ascii="Times New Roman" w:hAnsi="Times New Roman" w:eastAsia="仿宋_GB2312" w:cs="Times New Roman"/>
          <w:color w:val="auto"/>
          <w:kern w:val="2"/>
          <w:sz w:val="32"/>
          <w:szCs w:val="32"/>
          <w:highlight w:val="none"/>
          <w:lang w:val="en-US" w:eastAsia="zh-CN" w:bidi="ar-SA"/>
        </w:rPr>
        <w:t>要求</w:t>
      </w:r>
      <w:r>
        <w:rPr>
          <w:rFonts w:hint="default" w:ascii="Times New Roman" w:hAnsi="Times New Roman" w:eastAsia="仿宋_GB2312" w:cs="Times New Roman"/>
          <w:color w:val="auto"/>
          <w:kern w:val="2"/>
          <w:sz w:val="32"/>
          <w:szCs w:val="32"/>
          <w:highlight w:val="none"/>
          <w:lang w:val="en-US" w:eastAsia="zh-CN" w:bidi="ar-SA"/>
        </w:rPr>
        <w:t>。增加了预判任务类型、四级行政区代码及名称、占用耕地、永久基本农田、生态保护红线、城镇开发边界线的面积。（1）增加了预判任务分类字段，主要是围绕全国自然资源工作会议作出的工作重点部署，牢守耕地保护红线、提高矿产资源保障能力、促进国土空间开发保护格局优化、加强生态保护和修复等重点内容，具体依据《中华人民共和国土地管理法》提出对耕地实行特殊保护，严守耕地保护红线；《中华人民共和国矿产资源法》、《矿山地质环境保护规定》提出为发展矿业，加强矿产资源开发利用和保护工作；《节约集约利用土地规定》提出全面掌握建设用地开发利用情况，作为节约集约用地评价的基础；《土地复垦条例》、《全国重要生态系统保护和修复重大工程总体规划(2021-2035年)》对生产建设活动、历史遗留和自然灾害损毁土地的进行复垦，在全面加强生态保护的基础上，不断加大生态修复力度，因此预判任务类型填写内容分别为耕地保护、矿山保护与开发利用、建设用地开发利用、自然生态保护修复，通过外业指引图斑的预判任务分类，不仅为外业调查人员提供了调查的重点方向，同时也可避免因预判任务分类过细，调查关注内容缩减，导致外业调查信息采集不完整的情形。（2）增加了四级行政区代码及名称字段，便于按不同级别行政区进行图斑的汇总统计及分发。（3）增加的占用耕地、永久基本农田、生态保护红线、城镇开发边界线等的面积，主要结合了《关于在国土空间规划中统筹划定落实三条控制线的指导意见》统筹划定三条控制线要求，通过各类占用的面积值为外业调查开展提供方向指引。</w:t>
      </w:r>
    </w:p>
    <w:p w14:paraId="48F9AC06">
      <w:pPr>
        <w:pStyle w:val="10"/>
        <w:keepNext w:val="0"/>
        <w:keepLines w:val="0"/>
        <w:pageBreakBefore w:val="0"/>
        <w:widowControl/>
        <w:kinsoku/>
        <w:wordWrap/>
        <w:overflowPunct/>
        <w:topLinePunct w:val="0"/>
        <w:autoSpaceDE/>
        <w:autoSpaceDN/>
        <w:bidi w:val="0"/>
        <w:adjustRightInd/>
        <w:snapToGrid/>
        <w:ind w:firstLine="643" w:firstLineChars="200"/>
        <w:textAlignment w:val="auto"/>
        <w:rPr>
          <w:rFonts w:hint="default" w:ascii="Times New Roman" w:hAnsi="Times New Roman" w:eastAsia="仿宋_GB2312" w:cs="Times New Roman"/>
          <w:b/>
          <w:bCs/>
          <w:color w:val="auto"/>
          <w:kern w:val="2"/>
          <w:sz w:val="32"/>
          <w:szCs w:val="32"/>
          <w:highlight w:val="none"/>
          <w:lang w:val="en-US" w:eastAsia="zh-CN" w:bidi="ar-SA"/>
        </w:rPr>
      </w:pPr>
      <w:r>
        <w:rPr>
          <w:rFonts w:hint="default" w:ascii="Times New Roman" w:hAnsi="Times New Roman" w:eastAsia="仿宋_GB2312" w:cs="Times New Roman"/>
          <w:b/>
          <w:bCs/>
          <w:color w:val="auto"/>
          <w:kern w:val="2"/>
          <w:sz w:val="32"/>
          <w:szCs w:val="32"/>
          <w:highlight w:val="none"/>
          <w:lang w:val="en-US" w:eastAsia="zh-CN" w:bidi="ar-SA"/>
        </w:rPr>
        <w:t>4.外业调查内容</w:t>
      </w:r>
    </w:p>
    <w:p w14:paraId="061708C1">
      <w:pPr>
        <w:pStyle w:val="10"/>
        <w:keepNext w:val="0"/>
        <w:keepLines w:val="0"/>
        <w:pageBreakBefore w:val="0"/>
        <w:widowControl/>
        <w:kinsoku/>
        <w:wordWrap/>
        <w:overflowPunct/>
        <w:topLinePunct w:val="0"/>
        <w:autoSpaceDE/>
        <w:autoSpaceDN/>
        <w:bidi w:val="0"/>
        <w:adjustRightInd/>
        <w:snapToGrid/>
        <w:ind w:firstLine="640" w:firstLineChars="200"/>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color w:val="auto"/>
          <w:kern w:val="2"/>
          <w:sz w:val="32"/>
          <w:szCs w:val="32"/>
          <w:highlight w:val="none"/>
          <w:lang w:val="en-US" w:eastAsia="zh-CN" w:bidi="ar-SA"/>
        </w:rPr>
        <w:t>紧紧围绕自然资源工作重点部署，统一外业调查软件，按照耕地保护、矿山保护与开发利用、建设用地开发利用、自然生态保护修复四方面内容开展外业调查。截至目前，外业调查成果已有以下应用场景（应用场景需求由各管理部门提供），违法违规线索、重大项目用地、矿山开发利用、设施农业用地、增减挂钩项目、闲置土地、补充耕地项目、生态保护红线、已批建设用地、临时用地、全域土地综合整治和土地复垦项目、山水林田湖草沙一体化保护和修复、城镇开发边界等。为自然资源监测、执法、利用、耕保、矿保、生态修复、管制等部门监管提供有力支撑。</w:t>
      </w:r>
    </w:p>
    <w:p w14:paraId="6DCE8F8C">
      <w:pPr>
        <w:pStyle w:val="10"/>
        <w:keepNext w:val="0"/>
        <w:keepLines w:val="0"/>
        <w:pageBreakBefore w:val="0"/>
        <w:widowControl/>
        <w:kinsoku/>
        <w:wordWrap/>
        <w:overflowPunct/>
        <w:topLinePunct w:val="0"/>
        <w:autoSpaceDE/>
        <w:autoSpaceDN/>
        <w:bidi w:val="0"/>
        <w:adjustRightInd/>
        <w:snapToGrid/>
        <w:ind w:firstLine="640" w:firstLineChars="200"/>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color w:val="auto"/>
          <w:kern w:val="2"/>
          <w:sz w:val="32"/>
          <w:szCs w:val="32"/>
          <w:highlight w:val="none"/>
          <w:lang w:val="en-US" w:eastAsia="zh-CN" w:bidi="ar-SA"/>
        </w:rPr>
        <w:t>（1）耕地保护</w:t>
      </w:r>
    </w:p>
    <w:p w14:paraId="6A4B4E2B">
      <w:pPr>
        <w:pStyle w:val="10"/>
        <w:keepNext w:val="0"/>
        <w:keepLines w:val="0"/>
        <w:pageBreakBefore w:val="0"/>
        <w:widowControl/>
        <w:kinsoku/>
        <w:wordWrap/>
        <w:overflowPunct/>
        <w:topLinePunct w:val="0"/>
        <w:autoSpaceDE/>
        <w:autoSpaceDN/>
        <w:bidi w:val="0"/>
        <w:adjustRightInd/>
        <w:snapToGrid/>
        <w:ind w:firstLine="640" w:firstLineChars="200"/>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color w:val="auto"/>
          <w:kern w:val="2"/>
          <w:sz w:val="32"/>
          <w:szCs w:val="32"/>
          <w:highlight w:val="none"/>
          <w:lang w:val="en-US" w:eastAsia="zh-CN" w:bidi="ar-SA"/>
        </w:rPr>
        <w:t>根据外业指引图斑范围，对导致耕地“非粮化”、“非农化”的原因及现状情况，责任主体等进行实地调查。调查成果可应用于违法违规线索、设施农业用地、增减挂钩项目、补充耕地项目等场景。</w:t>
      </w:r>
    </w:p>
    <w:tbl>
      <w:tblPr>
        <w:tblStyle w:val="12"/>
        <w:tblW w:w="4996" w:type="pct"/>
        <w:tblInd w:w="0" w:type="dxa"/>
        <w:tblLayout w:type="fixed"/>
        <w:tblCellMar>
          <w:top w:w="0" w:type="dxa"/>
          <w:left w:w="108" w:type="dxa"/>
          <w:bottom w:w="0" w:type="dxa"/>
          <w:right w:w="108" w:type="dxa"/>
        </w:tblCellMar>
      </w:tblPr>
      <w:tblGrid>
        <w:gridCol w:w="1191"/>
        <w:gridCol w:w="2112"/>
        <w:gridCol w:w="3121"/>
        <w:gridCol w:w="2743"/>
      </w:tblGrid>
      <w:tr w14:paraId="059D816D">
        <w:tblPrEx>
          <w:tblCellMar>
            <w:top w:w="0" w:type="dxa"/>
            <w:left w:w="108" w:type="dxa"/>
            <w:bottom w:w="0" w:type="dxa"/>
            <w:right w:w="108" w:type="dxa"/>
          </w:tblCellMar>
        </w:tblPrEx>
        <w:trPr>
          <w:trHeight w:val="289" w:hRule="atLeast"/>
          <w:tblHeader/>
        </w:trPr>
        <w:tc>
          <w:tcPr>
            <w:tcW w:w="6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059894">
            <w:pPr>
              <w:widowControl/>
              <w:jc w:val="center"/>
              <w:textAlignment w:val="center"/>
              <w:rPr>
                <w:rFonts w:hint="default" w:ascii="Times New Roman" w:hAnsi="Times New Roman" w:eastAsia="仿宋_GB2312" w:cs="Times New Roman"/>
                <w:b/>
                <w:bCs/>
                <w:color w:val="auto"/>
                <w:sz w:val="24"/>
                <w:szCs w:val="24"/>
                <w:highlight w:val="none"/>
              </w:rPr>
            </w:pPr>
            <w:r>
              <w:rPr>
                <w:rFonts w:hint="default" w:ascii="Times New Roman" w:hAnsi="Times New Roman" w:eastAsia="仿宋_GB2312" w:cs="Times New Roman"/>
                <w:b/>
                <w:bCs/>
                <w:color w:val="auto"/>
                <w:kern w:val="0"/>
                <w:sz w:val="24"/>
                <w:szCs w:val="24"/>
                <w:highlight w:val="none"/>
                <w:lang w:bidi="ar"/>
              </w:rPr>
              <w:t>调查类别</w:t>
            </w:r>
          </w:p>
        </w:tc>
        <w:tc>
          <w:tcPr>
            <w:tcW w:w="11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2D481F">
            <w:pPr>
              <w:widowControl/>
              <w:jc w:val="center"/>
              <w:textAlignment w:val="center"/>
              <w:rPr>
                <w:rFonts w:hint="default" w:ascii="Times New Roman" w:hAnsi="Times New Roman" w:eastAsia="仿宋_GB2312" w:cs="Times New Roman"/>
                <w:b/>
                <w:bCs/>
                <w:color w:val="auto"/>
                <w:sz w:val="24"/>
                <w:szCs w:val="24"/>
                <w:highlight w:val="none"/>
              </w:rPr>
            </w:pPr>
            <w:r>
              <w:rPr>
                <w:rFonts w:hint="default" w:ascii="Times New Roman" w:hAnsi="Times New Roman" w:eastAsia="仿宋_GB2312" w:cs="Times New Roman"/>
                <w:b/>
                <w:bCs/>
                <w:color w:val="auto"/>
                <w:kern w:val="0"/>
                <w:sz w:val="24"/>
                <w:szCs w:val="24"/>
                <w:highlight w:val="none"/>
                <w:lang w:bidi="ar"/>
              </w:rPr>
              <w:t>调查内容</w:t>
            </w:r>
          </w:p>
        </w:tc>
        <w:tc>
          <w:tcPr>
            <w:tcW w:w="17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B8B6F">
            <w:pPr>
              <w:widowControl/>
              <w:jc w:val="center"/>
              <w:textAlignment w:val="center"/>
              <w:rPr>
                <w:rFonts w:hint="default" w:ascii="Times New Roman" w:hAnsi="Times New Roman" w:eastAsia="仿宋_GB2312" w:cs="Times New Roman"/>
                <w:b/>
                <w:bCs/>
                <w:color w:val="auto"/>
                <w:sz w:val="24"/>
                <w:szCs w:val="24"/>
                <w:highlight w:val="none"/>
              </w:rPr>
            </w:pPr>
            <w:r>
              <w:rPr>
                <w:rFonts w:hint="default" w:ascii="Times New Roman" w:hAnsi="Times New Roman" w:eastAsia="仿宋_GB2312" w:cs="Times New Roman"/>
                <w:b/>
                <w:bCs/>
                <w:color w:val="auto"/>
                <w:kern w:val="0"/>
                <w:sz w:val="24"/>
                <w:szCs w:val="24"/>
                <w:highlight w:val="none"/>
                <w:lang w:bidi="ar"/>
              </w:rPr>
              <w:t>说明</w:t>
            </w:r>
          </w:p>
        </w:tc>
        <w:tc>
          <w:tcPr>
            <w:tcW w:w="1495" w:type="pct"/>
            <w:tcBorders>
              <w:top w:val="single" w:color="000000" w:sz="4" w:space="0"/>
              <w:left w:val="nil"/>
              <w:bottom w:val="single" w:color="000000" w:sz="4" w:space="0"/>
              <w:right w:val="single" w:color="000000" w:sz="4" w:space="0"/>
            </w:tcBorders>
            <w:shd w:val="clear" w:color="auto" w:fill="auto"/>
            <w:noWrap/>
            <w:vAlign w:val="center"/>
          </w:tcPr>
          <w:p w14:paraId="0ECF1B1E">
            <w:pPr>
              <w:widowControl/>
              <w:jc w:val="center"/>
              <w:textAlignment w:val="center"/>
              <w:rPr>
                <w:rFonts w:hint="default" w:ascii="Times New Roman" w:hAnsi="Times New Roman" w:eastAsia="仿宋_GB2312" w:cs="Times New Roman"/>
                <w:b/>
                <w:bCs/>
                <w:color w:val="auto"/>
                <w:sz w:val="24"/>
                <w:szCs w:val="24"/>
                <w:highlight w:val="none"/>
              </w:rPr>
            </w:pPr>
            <w:r>
              <w:rPr>
                <w:rFonts w:hint="default" w:ascii="Times New Roman" w:hAnsi="Times New Roman" w:eastAsia="仿宋_GB2312" w:cs="Times New Roman"/>
                <w:b/>
                <w:bCs/>
                <w:color w:val="auto"/>
                <w:kern w:val="0"/>
                <w:sz w:val="24"/>
                <w:szCs w:val="24"/>
                <w:highlight w:val="none"/>
                <w:lang w:bidi="ar"/>
              </w:rPr>
              <w:t>来源</w:t>
            </w:r>
          </w:p>
        </w:tc>
      </w:tr>
      <w:tr w14:paraId="704E76B3">
        <w:tblPrEx>
          <w:tblCellMar>
            <w:top w:w="0" w:type="dxa"/>
            <w:left w:w="108" w:type="dxa"/>
            <w:bottom w:w="0" w:type="dxa"/>
            <w:right w:w="108" w:type="dxa"/>
          </w:tblCellMar>
        </w:tblPrEx>
        <w:trPr>
          <w:trHeight w:val="751" w:hRule="atLeast"/>
        </w:trPr>
        <w:tc>
          <w:tcPr>
            <w:tcW w:w="6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FF6234">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耕地“非粮化”</w:t>
            </w:r>
          </w:p>
        </w:tc>
        <w:tc>
          <w:tcPr>
            <w:tcW w:w="11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41F9F">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非粮化类型</w:t>
            </w:r>
          </w:p>
        </w:tc>
        <w:tc>
          <w:tcPr>
            <w:tcW w:w="17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21593C">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林地/园地/人工草皮/坑塘水面/设施农用地</w:t>
            </w:r>
          </w:p>
        </w:tc>
        <w:tc>
          <w:tcPr>
            <w:tcW w:w="14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2E0D33B">
            <w:pPr>
              <w:widowControl/>
              <w:jc w:val="left"/>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《自然资源部农业农村部国家林业和草原局关于严格耕地用途管制有关问题的通知》（自然资发〔2021〕166号）文件明确了耕地“非粮化”的管制要求。</w:t>
            </w:r>
            <w:r>
              <w:rPr>
                <w:rFonts w:hint="default" w:ascii="Times New Roman" w:hAnsi="Times New Roman" w:eastAsia="仿宋_GB2312" w:cs="Times New Roman"/>
                <w:color w:val="auto"/>
                <w:kern w:val="0"/>
                <w:sz w:val="24"/>
                <w:szCs w:val="24"/>
                <w:highlight w:val="none"/>
                <w:lang w:bidi="ar"/>
              </w:rPr>
              <w:br w:type="textWrapping"/>
            </w:r>
            <w:r>
              <w:rPr>
                <w:rFonts w:hint="default" w:ascii="Times New Roman" w:hAnsi="Times New Roman" w:eastAsia="仿宋_GB2312" w:cs="Times New Roman"/>
                <w:color w:val="auto"/>
                <w:kern w:val="0"/>
                <w:sz w:val="24"/>
                <w:szCs w:val="24"/>
                <w:highlight w:val="none"/>
                <w:lang w:bidi="ar"/>
              </w:rPr>
              <w:t>一是永久基本农田不得转为林地、草地、园地等其他农用地及农业设施建设用地。严禁占用永久基本农田发展林果业和挖塘。</w:t>
            </w:r>
            <w:r>
              <w:rPr>
                <w:rFonts w:hint="default" w:ascii="Times New Roman" w:hAnsi="Times New Roman" w:eastAsia="仿宋_GB2312" w:cs="Times New Roman"/>
                <w:color w:val="auto"/>
                <w:kern w:val="0"/>
                <w:sz w:val="24"/>
                <w:szCs w:val="24"/>
                <w:highlight w:val="none"/>
                <w:lang w:bidi="ar"/>
              </w:rPr>
              <w:br w:type="textWrapping"/>
            </w:r>
            <w:r>
              <w:rPr>
                <w:rFonts w:hint="default" w:ascii="Times New Roman" w:hAnsi="Times New Roman" w:eastAsia="仿宋_GB2312" w:cs="Times New Roman"/>
                <w:color w:val="auto"/>
                <w:kern w:val="0"/>
                <w:sz w:val="24"/>
                <w:szCs w:val="24"/>
                <w:highlight w:val="none"/>
                <w:lang w:bidi="ar"/>
              </w:rPr>
              <w:t>二是严格管控一般耕地转为其他农用地。永久基本农田以外的耕地为一般耕地，提出了7条严控。</w:t>
            </w:r>
          </w:p>
        </w:tc>
      </w:tr>
      <w:tr w14:paraId="259E6624">
        <w:tblPrEx>
          <w:tblCellMar>
            <w:top w:w="0" w:type="dxa"/>
            <w:left w:w="108" w:type="dxa"/>
            <w:bottom w:w="0" w:type="dxa"/>
            <w:right w:w="108" w:type="dxa"/>
          </w:tblCellMar>
        </w:tblPrEx>
        <w:trPr>
          <w:trHeight w:val="734" w:hRule="atLeast"/>
        </w:trPr>
        <w:tc>
          <w:tcPr>
            <w:tcW w:w="6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C0909">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1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071B39">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是否发放林权证</w:t>
            </w:r>
          </w:p>
        </w:tc>
        <w:tc>
          <w:tcPr>
            <w:tcW w:w="17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50F64F">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非粮化类型为林地时，调查林权证发放情况</w:t>
            </w:r>
          </w:p>
        </w:tc>
        <w:tc>
          <w:tcPr>
            <w:tcW w:w="1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EBECBD">
            <w:pPr>
              <w:jc w:val="left"/>
              <w:rPr>
                <w:rFonts w:hint="default" w:ascii="Times New Roman" w:hAnsi="Times New Roman" w:eastAsia="仿宋_GB2312" w:cs="Times New Roman"/>
                <w:color w:val="auto"/>
                <w:sz w:val="24"/>
                <w:szCs w:val="24"/>
                <w:highlight w:val="none"/>
              </w:rPr>
            </w:pPr>
          </w:p>
        </w:tc>
      </w:tr>
      <w:tr w14:paraId="540C9173">
        <w:tblPrEx>
          <w:tblCellMar>
            <w:top w:w="0" w:type="dxa"/>
            <w:left w:w="108" w:type="dxa"/>
            <w:bottom w:w="0" w:type="dxa"/>
            <w:right w:w="108" w:type="dxa"/>
          </w:tblCellMar>
        </w:tblPrEx>
        <w:trPr>
          <w:trHeight w:val="758" w:hRule="atLeast"/>
        </w:trPr>
        <w:tc>
          <w:tcPr>
            <w:tcW w:w="6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BE598">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1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5BE16A">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是否核实造林面积</w:t>
            </w:r>
          </w:p>
        </w:tc>
        <w:tc>
          <w:tcPr>
            <w:tcW w:w="17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836D1">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非粮化类型为林地时，调查核实造林情况</w:t>
            </w:r>
          </w:p>
        </w:tc>
        <w:tc>
          <w:tcPr>
            <w:tcW w:w="1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7C065F">
            <w:pPr>
              <w:jc w:val="left"/>
              <w:rPr>
                <w:rFonts w:hint="default" w:ascii="Times New Roman" w:hAnsi="Times New Roman" w:eastAsia="仿宋_GB2312" w:cs="Times New Roman"/>
                <w:color w:val="auto"/>
                <w:sz w:val="24"/>
                <w:szCs w:val="24"/>
                <w:highlight w:val="none"/>
              </w:rPr>
            </w:pPr>
          </w:p>
        </w:tc>
      </w:tr>
      <w:tr w14:paraId="4EEF3ACF">
        <w:tblPrEx>
          <w:tblCellMar>
            <w:top w:w="0" w:type="dxa"/>
            <w:left w:w="108" w:type="dxa"/>
            <w:bottom w:w="0" w:type="dxa"/>
            <w:right w:w="108" w:type="dxa"/>
          </w:tblCellMar>
        </w:tblPrEx>
        <w:trPr>
          <w:trHeight w:val="288" w:hRule="atLeast"/>
        </w:trPr>
        <w:tc>
          <w:tcPr>
            <w:tcW w:w="6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F82F1C">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1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5FA89">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现状种植作物</w:t>
            </w:r>
          </w:p>
        </w:tc>
        <w:tc>
          <w:tcPr>
            <w:tcW w:w="17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B8709">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根据种植现状填写实际作物</w:t>
            </w:r>
          </w:p>
        </w:tc>
        <w:tc>
          <w:tcPr>
            <w:tcW w:w="1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2BA1FF">
            <w:pPr>
              <w:jc w:val="left"/>
              <w:rPr>
                <w:rFonts w:hint="default" w:ascii="Times New Roman" w:hAnsi="Times New Roman" w:eastAsia="仿宋_GB2312" w:cs="Times New Roman"/>
                <w:color w:val="auto"/>
                <w:sz w:val="24"/>
                <w:szCs w:val="24"/>
                <w:highlight w:val="none"/>
              </w:rPr>
            </w:pPr>
          </w:p>
        </w:tc>
      </w:tr>
      <w:tr w14:paraId="2F879CAC">
        <w:tblPrEx>
          <w:tblCellMar>
            <w:top w:w="0" w:type="dxa"/>
            <w:left w:w="108" w:type="dxa"/>
            <w:bottom w:w="0" w:type="dxa"/>
            <w:right w:w="108" w:type="dxa"/>
          </w:tblCellMar>
        </w:tblPrEx>
        <w:trPr>
          <w:trHeight w:val="288" w:hRule="atLeast"/>
        </w:trPr>
        <w:tc>
          <w:tcPr>
            <w:tcW w:w="6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682620">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1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C109A0">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现状作物开始种植时间</w:t>
            </w:r>
          </w:p>
        </w:tc>
        <w:tc>
          <w:tcPr>
            <w:tcW w:w="17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51FF6A">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填写格式：XXXX年XX月</w:t>
            </w:r>
          </w:p>
        </w:tc>
        <w:tc>
          <w:tcPr>
            <w:tcW w:w="1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1CE8E1">
            <w:pPr>
              <w:jc w:val="left"/>
              <w:rPr>
                <w:rFonts w:hint="default" w:ascii="Times New Roman" w:hAnsi="Times New Roman" w:eastAsia="仿宋_GB2312" w:cs="Times New Roman"/>
                <w:color w:val="auto"/>
                <w:sz w:val="24"/>
                <w:szCs w:val="24"/>
                <w:highlight w:val="none"/>
              </w:rPr>
            </w:pPr>
          </w:p>
        </w:tc>
      </w:tr>
      <w:tr w14:paraId="4219A135">
        <w:tblPrEx>
          <w:tblCellMar>
            <w:top w:w="0" w:type="dxa"/>
            <w:left w:w="108" w:type="dxa"/>
            <w:bottom w:w="0" w:type="dxa"/>
            <w:right w:w="108" w:type="dxa"/>
          </w:tblCellMar>
        </w:tblPrEx>
        <w:trPr>
          <w:trHeight w:val="288" w:hRule="atLeast"/>
        </w:trPr>
        <w:tc>
          <w:tcPr>
            <w:tcW w:w="6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6F9116">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1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35A17">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坑塘是否有硬化</w:t>
            </w:r>
          </w:p>
        </w:tc>
        <w:tc>
          <w:tcPr>
            <w:tcW w:w="17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C30943">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非粮化类型为坑塘水面时，核实坑塘硬化情况</w:t>
            </w:r>
          </w:p>
        </w:tc>
        <w:tc>
          <w:tcPr>
            <w:tcW w:w="1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7AAEA8">
            <w:pPr>
              <w:jc w:val="left"/>
              <w:rPr>
                <w:rFonts w:hint="default" w:ascii="Times New Roman" w:hAnsi="Times New Roman" w:eastAsia="仿宋_GB2312" w:cs="Times New Roman"/>
                <w:color w:val="auto"/>
                <w:sz w:val="24"/>
                <w:szCs w:val="24"/>
                <w:highlight w:val="none"/>
              </w:rPr>
            </w:pPr>
          </w:p>
        </w:tc>
      </w:tr>
      <w:tr w14:paraId="6BE66C3B">
        <w:tblPrEx>
          <w:tblCellMar>
            <w:top w:w="0" w:type="dxa"/>
            <w:left w:w="108" w:type="dxa"/>
            <w:bottom w:w="0" w:type="dxa"/>
            <w:right w:w="108" w:type="dxa"/>
          </w:tblCellMar>
        </w:tblPrEx>
        <w:trPr>
          <w:trHeight w:val="576" w:hRule="atLeast"/>
        </w:trPr>
        <w:tc>
          <w:tcPr>
            <w:tcW w:w="6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C23CCC">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1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A17040">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现状主要用途</w:t>
            </w:r>
          </w:p>
        </w:tc>
        <w:tc>
          <w:tcPr>
            <w:tcW w:w="17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A6D2FA">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非粮化为设施农用地时，调查现状主要用途（养殖/种植/废弃）</w:t>
            </w:r>
          </w:p>
        </w:tc>
        <w:tc>
          <w:tcPr>
            <w:tcW w:w="1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7CDEF5">
            <w:pPr>
              <w:jc w:val="left"/>
              <w:rPr>
                <w:rFonts w:hint="default" w:ascii="Times New Roman" w:hAnsi="Times New Roman" w:eastAsia="仿宋_GB2312" w:cs="Times New Roman"/>
                <w:color w:val="auto"/>
                <w:sz w:val="24"/>
                <w:szCs w:val="24"/>
                <w:highlight w:val="none"/>
              </w:rPr>
            </w:pPr>
          </w:p>
        </w:tc>
      </w:tr>
      <w:tr w14:paraId="7F835426">
        <w:tblPrEx>
          <w:tblCellMar>
            <w:top w:w="0" w:type="dxa"/>
            <w:left w:w="108" w:type="dxa"/>
            <w:bottom w:w="0" w:type="dxa"/>
            <w:right w:w="108" w:type="dxa"/>
          </w:tblCellMar>
        </w:tblPrEx>
        <w:trPr>
          <w:trHeight w:val="288" w:hRule="atLeast"/>
        </w:trPr>
        <w:tc>
          <w:tcPr>
            <w:tcW w:w="6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74CB5">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耕地“非农化”</w:t>
            </w:r>
          </w:p>
        </w:tc>
        <w:tc>
          <w:tcPr>
            <w:tcW w:w="11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191271">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建筑结构</w:t>
            </w:r>
          </w:p>
        </w:tc>
        <w:tc>
          <w:tcPr>
            <w:tcW w:w="17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EF5F55">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混凝土/钢结构/木结构/其他</w:t>
            </w:r>
          </w:p>
        </w:tc>
        <w:tc>
          <w:tcPr>
            <w:tcW w:w="14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1252DC5">
            <w:pPr>
              <w:widowControl/>
              <w:jc w:val="left"/>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《土地卫片执法图斑合法性判定规则》（然资办发〔2021]65号）文件第二章第一点非农化违法用地的要求</w:t>
            </w:r>
          </w:p>
        </w:tc>
      </w:tr>
      <w:tr w14:paraId="27F55001">
        <w:tblPrEx>
          <w:tblCellMar>
            <w:top w:w="0" w:type="dxa"/>
            <w:left w:w="108" w:type="dxa"/>
            <w:bottom w:w="0" w:type="dxa"/>
            <w:right w:w="108" w:type="dxa"/>
          </w:tblCellMar>
        </w:tblPrEx>
        <w:trPr>
          <w:trHeight w:val="288" w:hRule="atLeast"/>
        </w:trPr>
        <w:tc>
          <w:tcPr>
            <w:tcW w:w="6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22654B">
            <w:pPr>
              <w:jc w:val="center"/>
              <w:rPr>
                <w:rFonts w:hint="default" w:ascii="Times New Roman" w:hAnsi="Times New Roman" w:eastAsia="仿宋_GB2312" w:cs="Times New Roman"/>
                <w:color w:val="auto"/>
                <w:sz w:val="28"/>
                <w:szCs w:val="28"/>
                <w:highlight w:val="none"/>
              </w:rPr>
            </w:pPr>
          </w:p>
        </w:tc>
        <w:tc>
          <w:tcPr>
            <w:tcW w:w="11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070A7">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建筑层数</w:t>
            </w:r>
          </w:p>
        </w:tc>
        <w:tc>
          <w:tcPr>
            <w:tcW w:w="17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05CD51">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填写格式：涉及XX栋，合计XX层</w:t>
            </w:r>
          </w:p>
        </w:tc>
        <w:tc>
          <w:tcPr>
            <w:tcW w:w="1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D43327">
            <w:pPr>
              <w:jc w:val="left"/>
              <w:rPr>
                <w:rFonts w:hint="default" w:ascii="Times New Roman" w:hAnsi="Times New Roman" w:eastAsia="仿宋_GB2312" w:cs="Times New Roman"/>
                <w:color w:val="auto"/>
                <w:sz w:val="24"/>
                <w:szCs w:val="24"/>
                <w:highlight w:val="none"/>
              </w:rPr>
            </w:pPr>
          </w:p>
        </w:tc>
      </w:tr>
      <w:tr w14:paraId="35405116">
        <w:tblPrEx>
          <w:tblCellMar>
            <w:top w:w="0" w:type="dxa"/>
            <w:left w:w="108" w:type="dxa"/>
            <w:bottom w:w="0" w:type="dxa"/>
            <w:right w:w="108" w:type="dxa"/>
          </w:tblCellMar>
        </w:tblPrEx>
        <w:trPr>
          <w:trHeight w:val="1480" w:hRule="atLeast"/>
        </w:trPr>
        <w:tc>
          <w:tcPr>
            <w:tcW w:w="6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302A29">
            <w:pPr>
              <w:jc w:val="center"/>
              <w:rPr>
                <w:rFonts w:hint="default" w:ascii="Times New Roman" w:hAnsi="Times New Roman" w:eastAsia="仿宋_GB2312" w:cs="Times New Roman"/>
                <w:color w:val="auto"/>
                <w:sz w:val="28"/>
                <w:szCs w:val="28"/>
                <w:highlight w:val="none"/>
              </w:rPr>
            </w:pPr>
          </w:p>
        </w:tc>
        <w:tc>
          <w:tcPr>
            <w:tcW w:w="11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FA6708">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用途（性质）分类</w:t>
            </w:r>
          </w:p>
        </w:tc>
        <w:tc>
          <w:tcPr>
            <w:tcW w:w="17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44601D">
            <w:pPr>
              <w:widowControl/>
              <w:jc w:val="left"/>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填写一户一宅/保障性安居住房/临时用地/民生工程/ 国家重大基础设施项目/自治区重大基础设施项目/农村乱占耕地建房/农村乱占耕地建房/侵占耕地建房挖湖造景/违建“别墅”/违建“大棚房”。</w:t>
            </w:r>
          </w:p>
        </w:tc>
        <w:tc>
          <w:tcPr>
            <w:tcW w:w="1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36E020">
            <w:pPr>
              <w:jc w:val="left"/>
              <w:rPr>
                <w:rFonts w:hint="default" w:ascii="Times New Roman" w:hAnsi="Times New Roman" w:eastAsia="仿宋_GB2312" w:cs="Times New Roman"/>
                <w:color w:val="auto"/>
                <w:sz w:val="24"/>
                <w:szCs w:val="24"/>
                <w:highlight w:val="none"/>
              </w:rPr>
            </w:pPr>
          </w:p>
        </w:tc>
      </w:tr>
      <w:tr w14:paraId="4CA95457">
        <w:tblPrEx>
          <w:tblCellMar>
            <w:top w:w="0" w:type="dxa"/>
            <w:left w:w="108" w:type="dxa"/>
            <w:bottom w:w="0" w:type="dxa"/>
            <w:right w:w="108" w:type="dxa"/>
          </w:tblCellMar>
        </w:tblPrEx>
        <w:trPr>
          <w:trHeight w:val="360" w:hRule="atLeast"/>
        </w:trPr>
        <w:tc>
          <w:tcPr>
            <w:tcW w:w="6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064D70">
            <w:pPr>
              <w:jc w:val="center"/>
              <w:rPr>
                <w:rFonts w:hint="default" w:ascii="Times New Roman" w:hAnsi="Times New Roman" w:eastAsia="仿宋_GB2312" w:cs="Times New Roman"/>
                <w:color w:val="auto"/>
                <w:sz w:val="28"/>
                <w:szCs w:val="28"/>
                <w:highlight w:val="none"/>
              </w:rPr>
            </w:pPr>
          </w:p>
        </w:tc>
        <w:tc>
          <w:tcPr>
            <w:tcW w:w="11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7CAA38">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项目名称</w:t>
            </w:r>
          </w:p>
        </w:tc>
        <w:tc>
          <w:tcPr>
            <w:tcW w:w="17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B98938">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如有立项文件应与立项文件一致</w:t>
            </w:r>
          </w:p>
        </w:tc>
        <w:tc>
          <w:tcPr>
            <w:tcW w:w="1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737286">
            <w:pPr>
              <w:jc w:val="left"/>
              <w:rPr>
                <w:rFonts w:hint="default" w:ascii="Times New Roman" w:hAnsi="Times New Roman" w:eastAsia="仿宋_GB2312" w:cs="Times New Roman"/>
                <w:color w:val="auto"/>
                <w:sz w:val="24"/>
                <w:szCs w:val="24"/>
                <w:highlight w:val="none"/>
              </w:rPr>
            </w:pPr>
          </w:p>
        </w:tc>
      </w:tr>
      <w:tr w14:paraId="28F1ECF5">
        <w:tblPrEx>
          <w:tblCellMar>
            <w:top w:w="0" w:type="dxa"/>
            <w:left w:w="108" w:type="dxa"/>
            <w:bottom w:w="0" w:type="dxa"/>
            <w:right w:w="108" w:type="dxa"/>
          </w:tblCellMar>
        </w:tblPrEx>
        <w:trPr>
          <w:trHeight w:val="360" w:hRule="atLeast"/>
        </w:trPr>
        <w:tc>
          <w:tcPr>
            <w:tcW w:w="6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E0F5C9">
            <w:pPr>
              <w:jc w:val="center"/>
              <w:rPr>
                <w:rFonts w:hint="default" w:ascii="Times New Roman" w:hAnsi="Times New Roman" w:eastAsia="仿宋_GB2312" w:cs="Times New Roman"/>
                <w:color w:val="auto"/>
                <w:sz w:val="28"/>
                <w:szCs w:val="28"/>
                <w:highlight w:val="none"/>
              </w:rPr>
            </w:pPr>
          </w:p>
        </w:tc>
        <w:tc>
          <w:tcPr>
            <w:tcW w:w="11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4F209">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责任主体</w:t>
            </w:r>
          </w:p>
        </w:tc>
        <w:tc>
          <w:tcPr>
            <w:tcW w:w="17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F83D4C">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图斑类型为“疑似违法用地”必填，填写个人、集体等责任主体名称</w:t>
            </w:r>
          </w:p>
        </w:tc>
        <w:tc>
          <w:tcPr>
            <w:tcW w:w="1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A191DF">
            <w:pPr>
              <w:jc w:val="left"/>
              <w:rPr>
                <w:rFonts w:hint="default" w:ascii="Times New Roman" w:hAnsi="Times New Roman" w:eastAsia="仿宋_GB2312" w:cs="Times New Roman"/>
                <w:color w:val="auto"/>
                <w:sz w:val="24"/>
                <w:szCs w:val="24"/>
                <w:highlight w:val="none"/>
              </w:rPr>
            </w:pPr>
          </w:p>
        </w:tc>
      </w:tr>
      <w:tr w14:paraId="5EFAB16D">
        <w:tblPrEx>
          <w:tblCellMar>
            <w:top w:w="0" w:type="dxa"/>
            <w:left w:w="108" w:type="dxa"/>
            <w:bottom w:w="0" w:type="dxa"/>
            <w:right w:w="108" w:type="dxa"/>
          </w:tblCellMar>
        </w:tblPrEx>
        <w:trPr>
          <w:trHeight w:val="360" w:hRule="atLeast"/>
        </w:trPr>
        <w:tc>
          <w:tcPr>
            <w:tcW w:w="6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006128">
            <w:pPr>
              <w:jc w:val="center"/>
              <w:rPr>
                <w:rFonts w:hint="default" w:ascii="Times New Roman" w:hAnsi="Times New Roman" w:eastAsia="仿宋_GB2312" w:cs="Times New Roman"/>
                <w:color w:val="auto"/>
                <w:sz w:val="28"/>
                <w:szCs w:val="28"/>
                <w:highlight w:val="none"/>
              </w:rPr>
            </w:pPr>
          </w:p>
        </w:tc>
        <w:tc>
          <w:tcPr>
            <w:tcW w:w="11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E1869F">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违法用地用矿整改情况</w:t>
            </w:r>
          </w:p>
        </w:tc>
        <w:tc>
          <w:tcPr>
            <w:tcW w:w="17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A4801">
            <w:pPr>
              <w:widowControl/>
              <w:jc w:val="center"/>
              <w:textAlignment w:val="center"/>
              <w:rPr>
                <w:rFonts w:hint="default" w:ascii="Times New Roman" w:hAnsi="Times New Roman" w:eastAsia="仿宋_GB2312" w:cs="Times New Roman"/>
                <w:color w:val="auto"/>
                <w:sz w:val="24"/>
                <w:szCs w:val="24"/>
                <w:highlight w:val="none"/>
              </w:rPr>
            </w:pPr>
            <w:r>
              <w:rPr>
                <w:rFonts w:hint="default" w:ascii="Times New Roman" w:hAnsi="Times New Roman" w:eastAsia="仿宋_GB2312" w:cs="Times New Roman"/>
                <w:color w:val="auto"/>
                <w:kern w:val="0"/>
                <w:sz w:val="24"/>
                <w:szCs w:val="24"/>
                <w:highlight w:val="none"/>
                <w:lang w:bidi="ar"/>
              </w:rPr>
              <w:t>恢复种植条件/种植农作物/三不留一毁闭。</w:t>
            </w:r>
          </w:p>
        </w:tc>
        <w:tc>
          <w:tcPr>
            <w:tcW w:w="14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AB9830">
            <w:pPr>
              <w:jc w:val="left"/>
              <w:rPr>
                <w:rFonts w:hint="default" w:ascii="Times New Roman" w:hAnsi="Times New Roman" w:eastAsia="仿宋_GB2312" w:cs="Times New Roman"/>
                <w:color w:val="auto"/>
                <w:sz w:val="24"/>
                <w:szCs w:val="24"/>
                <w:highlight w:val="none"/>
              </w:rPr>
            </w:pPr>
          </w:p>
        </w:tc>
      </w:tr>
    </w:tbl>
    <w:p w14:paraId="032CB8C0">
      <w:pPr>
        <w:pStyle w:val="10"/>
        <w:keepNext w:val="0"/>
        <w:keepLines w:val="0"/>
        <w:pageBreakBefore w:val="0"/>
        <w:widowControl/>
        <w:kinsoku/>
        <w:wordWrap/>
        <w:overflowPunct/>
        <w:topLinePunct w:val="0"/>
        <w:autoSpaceDE/>
        <w:autoSpaceDN/>
        <w:bidi w:val="0"/>
        <w:adjustRightInd/>
        <w:snapToGrid/>
        <w:ind w:firstLine="640" w:firstLineChars="200"/>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color w:val="auto"/>
          <w:kern w:val="2"/>
          <w:sz w:val="32"/>
          <w:szCs w:val="32"/>
          <w:highlight w:val="none"/>
          <w:lang w:val="en-US" w:eastAsia="zh-CN" w:bidi="ar-SA"/>
        </w:rPr>
        <w:t>（2）矿山保护与开发利用</w:t>
      </w:r>
    </w:p>
    <w:p w14:paraId="5FB7CC28">
      <w:pPr>
        <w:pStyle w:val="10"/>
        <w:keepNext w:val="0"/>
        <w:keepLines w:val="0"/>
        <w:pageBreakBefore w:val="0"/>
        <w:widowControl/>
        <w:kinsoku/>
        <w:wordWrap/>
        <w:overflowPunct/>
        <w:topLinePunct w:val="0"/>
        <w:autoSpaceDE/>
        <w:autoSpaceDN/>
        <w:bidi w:val="0"/>
        <w:adjustRightInd/>
        <w:snapToGrid/>
        <w:ind w:firstLine="640" w:firstLineChars="200"/>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color w:val="auto"/>
          <w:kern w:val="2"/>
          <w:sz w:val="32"/>
          <w:szCs w:val="32"/>
          <w:highlight w:val="none"/>
          <w:lang w:val="en-US" w:eastAsia="zh-CN" w:bidi="ar-SA"/>
        </w:rPr>
        <w:t>主要查明现阶段矿山开采利用以及破坏情况进行调查，包括有证跟无证开采情形，调查成果可应用于矿山开发利用场景。</w:t>
      </w:r>
    </w:p>
    <w:tbl>
      <w:tblPr>
        <w:tblStyle w:val="12"/>
        <w:tblW w:w="5000" w:type="pct"/>
        <w:tblInd w:w="0" w:type="dxa"/>
        <w:tblLayout w:type="fixed"/>
        <w:tblCellMar>
          <w:top w:w="0" w:type="dxa"/>
          <w:left w:w="108" w:type="dxa"/>
          <w:bottom w:w="0" w:type="dxa"/>
          <w:right w:w="108" w:type="dxa"/>
        </w:tblCellMar>
      </w:tblPr>
      <w:tblGrid>
        <w:gridCol w:w="1852"/>
        <w:gridCol w:w="6311"/>
        <w:gridCol w:w="1011"/>
      </w:tblGrid>
      <w:tr w14:paraId="3696A92D">
        <w:tblPrEx>
          <w:tblCellMar>
            <w:top w:w="0" w:type="dxa"/>
            <w:left w:w="108" w:type="dxa"/>
            <w:bottom w:w="0" w:type="dxa"/>
            <w:right w:w="108" w:type="dxa"/>
          </w:tblCellMar>
        </w:tblPrEx>
        <w:trPr>
          <w:trHeight w:val="289" w:hRule="atLeast"/>
          <w:tblHeader/>
        </w:trPr>
        <w:tc>
          <w:tcPr>
            <w:tcW w:w="10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40F50C">
            <w:pPr>
              <w:widowControl/>
              <w:jc w:val="center"/>
              <w:textAlignment w:val="center"/>
              <w:rPr>
                <w:rFonts w:hint="default" w:ascii="Times New Roman" w:hAnsi="Times New Roman" w:eastAsia="仿宋_GB2312" w:cs="Times New Roman"/>
                <w:b/>
                <w:bCs/>
                <w:color w:val="auto"/>
                <w:kern w:val="0"/>
                <w:sz w:val="24"/>
                <w:szCs w:val="24"/>
                <w:highlight w:val="none"/>
                <w:lang w:bidi="ar"/>
              </w:rPr>
            </w:pPr>
            <w:r>
              <w:rPr>
                <w:rFonts w:hint="default" w:ascii="Times New Roman" w:hAnsi="Times New Roman" w:eastAsia="仿宋_GB2312" w:cs="Times New Roman"/>
                <w:b/>
                <w:bCs/>
                <w:color w:val="auto"/>
                <w:kern w:val="0"/>
                <w:sz w:val="24"/>
                <w:szCs w:val="24"/>
                <w:highlight w:val="none"/>
                <w:lang w:bidi="ar"/>
              </w:rPr>
              <w:t>调查类别</w:t>
            </w:r>
          </w:p>
        </w:tc>
        <w:tc>
          <w:tcPr>
            <w:tcW w:w="34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977C9A">
            <w:pPr>
              <w:widowControl/>
              <w:jc w:val="center"/>
              <w:textAlignment w:val="center"/>
              <w:rPr>
                <w:rFonts w:hint="default" w:ascii="Times New Roman" w:hAnsi="Times New Roman" w:eastAsia="仿宋_GB2312" w:cs="Times New Roman"/>
                <w:b/>
                <w:bCs/>
                <w:color w:val="auto"/>
                <w:kern w:val="0"/>
                <w:sz w:val="24"/>
                <w:szCs w:val="24"/>
                <w:highlight w:val="none"/>
                <w:lang w:bidi="ar"/>
              </w:rPr>
            </w:pPr>
            <w:r>
              <w:rPr>
                <w:rFonts w:hint="default" w:ascii="Times New Roman" w:hAnsi="Times New Roman" w:eastAsia="仿宋_GB2312" w:cs="Times New Roman"/>
                <w:b/>
                <w:bCs/>
                <w:color w:val="auto"/>
                <w:kern w:val="0"/>
                <w:sz w:val="24"/>
                <w:szCs w:val="24"/>
                <w:highlight w:val="none"/>
                <w:lang w:bidi="ar"/>
              </w:rPr>
              <w:t>调查内容</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F23097">
            <w:pPr>
              <w:widowControl/>
              <w:jc w:val="center"/>
              <w:textAlignment w:val="center"/>
              <w:rPr>
                <w:rFonts w:hint="default" w:ascii="Times New Roman" w:hAnsi="Times New Roman" w:eastAsia="仿宋_GB2312" w:cs="Times New Roman"/>
                <w:b/>
                <w:bCs/>
                <w:color w:val="auto"/>
                <w:kern w:val="0"/>
                <w:sz w:val="24"/>
                <w:szCs w:val="24"/>
                <w:highlight w:val="none"/>
                <w:lang w:bidi="ar"/>
              </w:rPr>
            </w:pPr>
            <w:r>
              <w:rPr>
                <w:rFonts w:hint="default" w:ascii="Times New Roman" w:hAnsi="Times New Roman" w:eastAsia="仿宋_GB2312" w:cs="Times New Roman"/>
                <w:b/>
                <w:bCs/>
                <w:color w:val="auto"/>
                <w:kern w:val="0"/>
                <w:sz w:val="24"/>
                <w:szCs w:val="24"/>
                <w:highlight w:val="none"/>
                <w:lang w:bidi="ar"/>
              </w:rPr>
              <w:t>单位</w:t>
            </w:r>
          </w:p>
        </w:tc>
      </w:tr>
      <w:tr w14:paraId="6610276D">
        <w:tblPrEx>
          <w:tblCellMar>
            <w:top w:w="0" w:type="dxa"/>
            <w:left w:w="108" w:type="dxa"/>
            <w:bottom w:w="0" w:type="dxa"/>
            <w:right w:w="108" w:type="dxa"/>
          </w:tblCellMar>
        </w:tblPrEx>
        <w:trPr>
          <w:trHeight w:val="288" w:hRule="atLeast"/>
        </w:trPr>
        <w:tc>
          <w:tcPr>
            <w:tcW w:w="1009"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EA1BB8">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开采情况</w:t>
            </w:r>
          </w:p>
        </w:tc>
        <w:tc>
          <w:tcPr>
            <w:tcW w:w="34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0976CB">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生产现状(在建、生产、闭坑)</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8FB4E2">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w:t>
            </w:r>
          </w:p>
        </w:tc>
      </w:tr>
      <w:tr w14:paraId="7B4B6CC3">
        <w:tblPrEx>
          <w:tblCellMar>
            <w:top w:w="0" w:type="dxa"/>
            <w:left w:w="108" w:type="dxa"/>
            <w:bottom w:w="0" w:type="dxa"/>
            <w:right w:w="108" w:type="dxa"/>
          </w:tblCellMar>
        </w:tblPrEx>
        <w:trPr>
          <w:trHeight w:val="288" w:hRule="atLeast"/>
        </w:trPr>
        <w:tc>
          <w:tcPr>
            <w:tcW w:w="100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61EEB1">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34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6EC66">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开采矿类（能源矿产、金属矿产、非金属矿产、水气矿产）</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EB4BF">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w:t>
            </w:r>
          </w:p>
        </w:tc>
      </w:tr>
      <w:tr w14:paraId="165DDE78">
        <w:tblPrEx>
          <w:tblCellMar>
            <w:top w:w="0" w:type="dxa"/>
            <w:left w:w="108" w:type="dxa"/>
            <w:bottom w:w="0" w:type="dxa"/>
            <w:right w:w="108" w:type="dxa"/>
          </w:tblCellMar>
        </w:tblPrEx>
        <w:trPr>
          <w:trHeight w:val="288" w:hRule="atLeast"/>
        </w:trPr>
        <w:tc>
          <w:tcPr>
            <w:tcW w:w="100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24E5A">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34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0F55A1">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开采深度</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EDA9C2">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m</w:t>
            </w:r>
          </w:p>
        </w:tc>
      </w:tr>
      <w:tr w14:paraId="5FDE3265">
        <w:tblPrEx>
          <w:tblCellMar>
            <w:top w:w="0" w:type="dxa"/>
            <w:left w:w="108" w:type="dxa"/>
            <w:bottom w:w="0" w:type="dxa"/>
            <w:right w:w="108" w:type="dxa"/>
          </w:tblCellMar>
        </w:tblPrEx>
        <w:trPr>
          <w:trHeight w:val="312" w:hRule="atLeast"/>
        </w:trPr>
        <w:tc>
          <w:tcPr>
            <w:tcW w:w="1009"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8B431B">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破坏情况</w:t>
            </w:r>
          </w:p>
        </w:tc>
        <w:tc>
          <w:tcPr>
            <w:tcW w:w="34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582D13">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尾矿库</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51071C">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ha</w:t>
            </w:r>
          </w:p>
        </w:tc>
      </w:tr>
      <w:tr w14:paraId="6D32AE6A">
        <w:tblPrEx>
          <w:tblCellMar>
            <w:top w:w="0" w:type="dxa"/>
            <w:left w:w="108" w:type="dxa"/>
            <w:bottom w:w="0" w:type="dxa"/>
            <w:right w:w="108" w:type="dxa"/>
          </w:tblCellMar>
        </w:tblPrEx>
        <w:trPr>
          <w:trHeight w:val="288" w:hRule="atLeast"/>
        </w:trPr>
        <w:tc>
          <w:tcPr>
            <w:tcW w:w="100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B20642">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34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944AD">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采矿场</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5AEFBE">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ha</w:t>
            </w:r>
          </w:p>
        </w:tc>
      </w:tr>
      <w:tr w14:paraId="34A18247">
        <w:tblPrEx>
          <w:tblCellMar>
            <w:top w:w="0" w:type="dxa"/>
            <w:left w:w="108" w:type="dxa"/>
            <w:bottom w:w="0" w:type="dxa"/>
            <w:right w:w="108" w:type="dxa"/>
          </w:tblCellMar>
        </w:tblPrEx>
        <w:trPr>
          <w:trHeight w:val="90" w:hRule="atLeast"/>
        </w:trPr>
        <w:tc>
          <w:tcPr>
            <w:tcW w:w="100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E93D46">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34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C4C21">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固体废料场</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D9AEE">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ha</w:t>
            </w:r>
          </w:p>
        </w:tc>
      </w:tr>
      <w:tr w14:paraId="1A2C0978">
        <w:tblPrEx>
          <w:tblCellMar>
            <w:top w:w="0" w:type="dxa"/>
            <w:left w:w="108" w:type="dxa"/>
            <w:bottom w:w="0" w:type="dxa"/>
            <w:right w:w="108" w:type="dxa"/>
          </w:tblCellMar>
        </w:tblPrEx>
        <w:trPr>
          <w:trHeight w:val="312" w:hRule="atLeast"/>
        </w:trPr>
        <w:tc>
          <w:tcPr>
            <w:tcW w:w="100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15EFF">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34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296927">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地面塌陷区</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ED85A1">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ha</w:t>
            </w:r>
          </w:p>
        </w:tc>
      </w:tr>
    </w:tbl>
    <w:p w14:paraId="141FEFF7">
      <w:pPr>
        <w:pStyle w:val="10"/>
        <w:keepNext w:val="0"/>
        <w:keepLines w:val="0"/>
        <w:pageBreakBefore w:val="0"/>
        <w:widowControl/>
        <w:kinsoku/>
        <w:wordWrap/>
        <w:overflowPunct/>
        <w:topLinePunct w:val="0"/>
        <w:autoSpaceDE/>
        <w:autoSpaceDN/>
        <w:bidi w:val="0"/>
        <w:adjustRightInd/>
        <w:snapToGrid/>
        <w:spacing w:line="240" w:lineRule="auto"/>
        <w:ind w:left="0" w:leftChars="0" w:firstLine="0" w:firstLineChars="0"/>
        <w:textAlignment w:val="auto"/>
        <w:rPr>
          <w:color w:val="auto"/>
          <w:highlight w:val="none"/>
          <w:lang w:bidi="ar"/>
        </w:rPr>
      </w:pPr>
      <w:r>
        <w:rPr>
          <w:color w:val="auto"/>
          <w:sz w:val="24"/>
          <w:szCs w:val="28"/>
          <w:highlight w:val="none"/>
          <w:lang w:bidi="ar"/>
        </w:rPr>
        <w:t>来源：《全国矿山地质环境调查技术要求实施细则》</w:t>
      </w:r>
    </w:p>
    <w:p w14:paraId="1A993243">
      <w:pPr>
        <w:pStyle w:val="10"/>
        <w:keepNext w:val="0"/>
        <w:keepLines w:val="0"/>
        <w:pageBreakBefore w:val="0"/>
        <w:widowControl/>
        <w:kinsoku/>
        <w:wordWrap/>
        <w:overflowPunct/>
        <w:topLinePunct w:val="0"/>
        <w:autoSpaceDE/>
        <w:autoSpaceDN/>
        <w:bidi w:val="0"/>
        <w:adjustRightInd/>
        <w:snapToGrid/>
        <w:ind w:firstLine="640" w:firstLineChars="200"/>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color w:val="auto"/>
          <w:kern w:val="2"/>
          <w:sz w:val="32"/>
          <w:szCs w:val="32"/>
          <w:highlight w:val="none"/>
          <w:lang w:val="en-US" w:eastAsia="zh-CN" w:bidi="ar-SA"/>
        </w:rPr>
        <w:t>（3）建设用地开发利用</w:t>
      </w:r>
    </w:p>
    <w:p w14:paraId="7397392E">
      <w:pPr>
        <w:pStyle w:val="10"/>
        <w:keepNext w:val="0"/>
        <w:keepLines w:val="0"/>
        <w:pageBreakBefore w:val="0"/>
        <w:widowControl/>
        <w:kinsoku/>
        <w:wordWrap/>
        <w:overflowPunct/>
        <w:topLinePunct w:val="0"/>
        <w:autoSpaceDE/>
        <w:autoSpaceDN/>
        <w:bidi w:val="0"/>
        <w:adjustRightInd/>
        <w:snapToGrid/>
        <w:ind w:firstLine="640" w:firstLineChars="200"/>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color w:val="auto"/>
          <w:kern w:val="2"/>
          <w:sz w:val="32"/>
          <w:szCs w:val="32"/>
          <w:highlight w:val="none"/>
          <w:lang w:val="en-US" w:eastAsia="zh-CN" w:bidi="ar-SA"/>
        </w:rPr>
        <w:t>针对土地利用集约节约情况，查清现阶段建设用地开发利用的现状，获批的手续情况，存量用地类型等，调查成果可应用于重大项目用地、闲置土地、已批建设用地、临时用地、城镇开发边界等场景。</w:t>
      </w:r>
    </w:p>
    <w:tbl>
      <w:tblPr>
        <w:tblStyle w:val="12"/>
        <w:tblW w:w="4997" w:type="pct"/>
        <w:tblInd w:w="0" w:type="dxa"/>
        <w:tblLayout w:type="autofit"/>
        <w:tblCellMar>
          <w:top w:w="0" w:type="dxa"/>
          <w:left w:w="108" w:type="dxa"/>
          <w:bottom w:w="0" w:type="dxa"/>
          <w:right w:w="108" w:type="dxa"/>
        </w:tblCellMar>
      </w:tblPr>
      <w:tblGrid>
        <w:gridCol w:w="2588"/>
        <w:gridCol w:w="2641"/>
        <w:gridCol w:w="3939"/>
      </w:tblGrid>
      <w:tr w14:paraId="4D81D57E">
        <w:tblPrEx>
          <w:tblCellMar>
            <w:top w:w="0" w:type="dxa"/>
            <w:left w:w="108" w:type="dxa"/>
            <w:bottom w:w="0" w:type="dxa"/>
            <w:right w:w="108" w:type="dxa"/>
          </w:tblCellMar>
        </w:tblPrEx>
        <w:trPr>
          <w:trHeight w:val="289" w:hRule="atLeast"/>
          <w:tblHeader/>
        </w:trPr>
        <w:tc>
          <w:tcPr>
            <w:tcW w:w="1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0496EE">
            <w:pPr>
              <w:widowControl/>
              <w:jc w:val="center"/>
              <w:textAlignment w:val="center"/>
              <w:rPr>
                <w:rFonts w:eastAsia="仿宋_GB2312"/>
                <w:b/>
                <w:bCs/>
                <w:color w:val="auto"/>
                <w:kern w:val="0"/>
                <w:sz w:val="24"/>
                <w:szCs w:val="24"/>
                <w:highlight w:val="none"/>
                <w:lang w:bidi="ar"/>
              </w:rPr>
            </w:pPr>
            <w:r>
              <w:rPr>
                <w:rFonts w:eastAsia="仿宋_GB2312"/>
                <w:b/>
                <w:bCs/>
                <w:color w:val="auto"/>
                <w:kern w:val="0"/>
                <w:sz w:val="24"/>
                <w:szCs w:val="24"/>
                <w:highlight w:val="none"/>
                <w:lang w:bidi="ar"/>
              </w:rPr>
              <w:t>调查类别</w:t>
            </w:r>
          </w:p>
        </w:tc>
        <w:tc>
          <w:tcPr>
            <w:tcW w:w="14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C3CC7">
            <w:pPr>
              <w:widowControl/>
              <w:jc w:val="center"/>
              <w:textAlignment w:val="center"/>
              <w:rPr>
                <w:rFonts w:eastAsia="仿宋_GB2312"/>
                <w:b/>
                <w:bCs/>
                <w:color w:val="auto"/>
                <w:kern w:val="0"/>
                <w:sz w:val="24"/>
                <w:szCs w:val="24"/>
                <w:highlight w:val="none"/>
                <w:lang w:bidi="ar"/>
              </w:rPr>
            </w:pPr>
            <w:r>
              <w:rPr>
                <w:rFonts w:eastAsia="仿宋_GB2312"/>
                <w:b/>
                <w:bCs/>
                <w:color w:val="auto"/>
                <w:kern w:val="0"/>
                <w:sz w:val="24"/>
                <w:szCs w:val="24"/>
                <w:highlight w:val="none"/>
                <w:lang w:bidi="ar"/>
              </w:rPr>
              <w:t>调查内容</w:t>
            </w:r>
          </w:p>
        </w:tc>
        <w:tc>
          <w:tcPr>
            <w:tcW w:w="2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4AE33B">
            <w:pPr>
              <w:widowControl/>
              <w:jc w:val="center"/>
              <w:textAlignment w:val="center"/>
              <w:rPr>
                <w:rFonts w:eastAsia="仿宋_GB2312"/>
                <w:b/>
                <w:bCs/>
                <w:color w:val="auto"/>
                <w:kern w:val="0"/>
                <w:sz w:val="24"/>
                <w:szCs w:val="24"/>
                <w:highlight w:val="none"/>
                <w:lang w:bidi="ar"/>
              </w:rPr>
            </w:pPr>
            <w:r>
              <w:rPr>
                <w:rFonts w:eastAsia="仿宋_GB2312"/>
                <w:b/>
                <w:bCs/>
                <w:color w:val="auto"/>
                <w:kern w:val="0"/>
                <w:sz w:val="24"/>
                <w:szCs w:val="24"/>
                <w:highlight w:val="none"/>
                <w:lang w:bidi="ar"/>
              </w:rPr>
              <w:t>要求说明</w:t>
            </w:r>
          </w:p>
        </w:tc>
      </w:tr>
      <w:tr w14:paraId="0F685B2C">
        <w:tblPrEx>
          <w:tblCellMar>
            <w:top w:w="0" w:type="dxa"/>
            <w:left w:w="108" w:type="dxa"/>
            <w:bottom w:w="0" w:type="dxa"/>
            <w:right w:w="108" w:type="dxa"/>
          </w:tblCellMar>
        </w:tblPrEx>
        <w:trPr>
          <w:trHeight w:val="288" w:hRule="atLeast"/>
        </w:trPr>
        <w:tc>
          <w:tcPr>
            <w:tcW w:w="141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EE5785">
            <w:pPr>
              <w:widowControl/>
              <w:jc w:val="center"/>
              <w:textAlignment w:val="center"/>
              <w:rPr>
                <w:rFonts w:eastAsia="仿宋_GB2312"/>
                <w:color w:val="auto"/>
                <w:kern w:val="0"/>
                <w:sz w:val="24"/>
                <w:szCs w:val="24"/>
                <w:highlight w:val="none"/>
                <w:lang w:bidi="ar"/>
              </w:rPr>
            </w:pPr>
            <w:r>
              <w:rPr>
                <w:rFonts w:eastAsia="仿宋_GB2312"/>
                <w:color w:val="auto"/>
                <w:kern w:val="0"/>
                <w:sz w:val="24"/>
                <w:szCs w:val="24"/>
                <w:highlight w:val="none"/>
                <w:lang w:bidi="ar"/>
              </w:rPr>
              <w:t>现状信息</w:t>
            </w:r>
          </w:p>
        </w:tc>
        <w:tc>
          <w:tcPr>
            <w:tcW w:w="14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A6D45">
            <w:pPr>
              <w:widowControl/>
              <w:jc w:val="center"/>
              <w:textAlignment w:val="center"/>
              <w:rPr>
                <w:rFonts w:eastAsia="仿宋_GB2312"/>
                <w:color w:val="auto"/>
                <w:kern w:val="0"/>
                <w:sz w:val="24"/>
                <w:szCs w:val="24"/>
                <w:highlight w:val="none"/>
                <w:lang w:bidi="ar"/>
              </w:rPr>
            </w:pPr>
            <w:r>
              <w:rPr>
                <w:rFonts w:eastAsia="仿宋_GB2312"/>
                <w:color w:val="auto"/>
                <w:kern w:val="0"/>
                <w:sz w:val="24"/>
                <w:szCs w:val="24"/>
                <w:highlight w:val="none"/>
                <w:lang w:bidi="ar"/>
              </w:rPr>
              <w:t>建设状况</w:t>
            </w:r>
          </w:p>
        </w:tc>
        <w:tc>
          <w:tcPr>
            <w:tcW w:w="2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98D42A">
            <w:pPr>
              <w:widowControl/>
              <w:jc w:val="center"/>
              <w:textAlignment w:val="center"/>
              <w:rPr>
                <w:rFonts w:eastAsia="仿宋_GB2312"/>
                <w:color w:val="auto"/>
                <w:kern w:val="0"/>
                <w:sz w:val="24"/>
                <w:szCs w:val="24"/>
                <w:highlight w:val="none"/>
                <w:lang w:bidi="ar"/>
              </w:rPr>
            </w:pPr>
            <w:r>
              <w:rPr>
                <w:rFonts w:eastAsia="仿宋_GB2312"/>
                <w:color w:val="auto"/>
                <w:kern w:val="0"/>
                <w:sz w:val="24"/>
                <w:szCs w:val="24"/>
                <w:highlight w:val="none"/>
                <w:lang w:bidi="ar"/>
              </w:rPr>
              <w:t>在建、未建、建成</w:t>
            </w:r>
          </w:p>
        </w:tc>
      </w:tr>
      <w:tr w14:paraId="3EF76942">
        <w:tblPrEx>
          <w:tblCellMar>
            <w:top w:w="0" w:type="dxa"/>
            <w:left w:w="108" w:type="dxa"/>
            <w:bottom w:w="0" w:type="dxa"/>
            <w:right w:w="108" w:type="dxa"/>
          </w:tblCellMar>
        </w:tblPrEx>
        <w:trPr>
          <w:trHeight w:val="780" w:hRule="atLeast"/>
        </w:trPr>
        <w:tc>
          <w:tcPr>
            <w:tcW w:w="141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20D73E">
            <w:pPr>
              <w:widowControl/>
              <w:jc w:val="center"/>
              <w:textAlignment w:val="center"/>
              <w:rPr>
                <w:rFonts w:eastAsia="仿宋_GB2312"/>
                <w:color w:val="auto"/>
                <w:kern w:val="0"/>
                <w:sz w:val="24"/>
                <w:szCs w:val="24"/>
                <w:highlight w:val="none"/>
                <w:lang w:bidi="ar"/>
              </w:rPr>
            </w:pPr>
          </w:p>
        </w:tc>
        <w:tc>
          <w:tcPr>
            <w:tcW w:w="14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E2060">
            <w:pPr>
              <w:widowControl/>
              <w:jc w:val="center"/>
              <w:textAlignment w:val="center"/>
              <w:rPr>
                <w:rFonts w:eastAsia="仿宋_GB2312"/>
                <w:color w:val="auto"/>
                <w:kern w:val="0"/>
                <w:sz w:val="24"/>
                <w:szCs w:val="24"/>
                <w:highlight w:val="none"/>
                <w:lang w:bidi="ar"/>
              </w:rPr>
            </w:pPr>
            <w:r>
              <w:rPr>
                <w:rFonts w:eastAsia="仿宋_GB2312"/>
                <w:color w:val="auto"/>
                <w:kern w:val="0"/>
                <w:sz w:val="24"/>
                <w:szCs w:val="24"/>
                <w:highlight w:val="none"/>
                <w:lang w:bidi="ar"/>
              </w:rPr>
              <w:t>容积率</w:t>
            </w:r>
          </w:p>
        </w:tc>
        <w:tc>
          <w:tcPr>
            <w:tcW w:w="2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28ECCB">
            <w:pPr>
              <w:widowControl/>
              <w:jc w:val="center"/>
              <w:textAlignment w:val="center"/>
              <w:rPr>
                <w:rFonts w:eastAsia="仿宋_GB2312"/>
                <w:color w:val="auto"/>
                <w:kern w:val="0"/>
                <w:sz w:val="24"/>
                <w:szCs w:val="24"/>
                <w:highlight w:val="none"/>
                <w:lang w:bidi="ar"/>
              </w:rPr>
            </w:pPr>
            <w:r>
              <w:rPr>
                <w:rFonts w:eastAsia="仿宋_GB2312"/>
                <w:color w:val="auto"/>
                <w:kern w:val="0"/>
                <w:sz w:val="24"/>
                <w:szCs w:val="24"/>
                <w:highlight w:val="none"/>
                <w:lang w:bidi="ar"/>
              </w:rPr>
              <w:t>该地块的地上总建筑面积与净用地面积的比率</w:t>
            </w:r>
          </w:p>
        </w:tc>
      </w:tr>
      <w:tr w14:paraId="64FDC71F">
        <w:tblPrEx>
          <w:tblCellMar>
            <w:top w:w="0" w:type="dxa"/>
            <w:left w:w="108" w:type="dxa"/>
            <w:bottom w:w="0" w:type="dxa"/>
            <w:right w:w="108" w:type="dxa"/>
          </w:tblCellMar>
        </w:tblPrEx>
        <w:trPr>
          <w:trHeight w:val="90" w:hRule="atLeast"/>
        </w:trPr>
        <w:tc>
          <w:tcPr>
            <w:tcW w:w="141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130C7">
            <w:pPr>
              <w:widowControl/>
              <w:jc w:val="center"/>
              <w:textAlignment w:val="center"/>
              <w:rPr>
                <w:rFonts w:eastAsia="仿宋_GB2312"/>
                <w:color w:val="auto"/>
                <w:kern w:val="0"/>
                <w:sz w:val="24"/>
                <w:szCs w:val="24"/>
                <w:highlight w:val="none"/>
                <w:lang w:bidi="ar"/>
              </w:rPr>
            </w:pPr>
          </w:p>
        </w:tc>
        <w:tc>
          <w:tcPr>
            <w:tcW w:w="14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3D890C">
            <w:pPr>
              <w:widowControl/>
              <w:jc w:val="center"/>
              <w:textAlignment w:val="center"/>
              <w:rPr>
                <w:rFonts w:eastAsia="仿宋_GB2312"/>
                <w:color w:val="auto"/>
                <w:kern w:val="0"/>
                <w:sz w:val="24"/>
                <w:szCs w:val="24"/>
                <w:highlight w:val="none"/>
                <w:lang w:bidi="ar"/>
              </w:rPr>
            </w:pPr>
            <w:r>
              <w:rPr>
                <w:rFonts w:eastAsia="仿宋_GB2312"/>
                <w:color w:val="auto"/>
                <w:kern w:val="0"/>
                <w:sz w:val="24"/>
                <w:szCs w:val="24"/>
                <w:highlight w:val="none"/>
                <w:lang w:bidi="ar"/>
              </w:rPr>
              <w:t>建筑面积</w:t>
            </w:r>
          </w:p>
        </w:tc>
        <w:tc>
          <w:tcPr>
            <w:tcW w:w="2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2664C">
            <w:pPr>
              <w:widowControl/>
              <w:jc w:val="center"/>
              <w:textAlignment w:val="center"/>
              <w:rPr>
                <w:rFonts w:eastAsia="仿宋_GB2312"/>
                <w:color w:val="auto"/>
                <w:kern w:val="0"/>
                <w:sz w:val="24"/>
                <w:szCs w:val="24"/>
                <w:highlight w:val="none"/>
                <w:lang w:bidi="ar"/>
              </w:rPr>
            </w:pPr>
            <w:r>
              <w:rPr>
                <w:rFonts w:eastAsia="仿宋_GB2312"/>
                <w:color w:val="auto"/>
                <w:kern w:val="0"/>
                <w:sz w:val="24"/>
                <w:szCs w:val="24"/>
                <w:highlight w:val="none"/>
                <w:lang w:bidi="ar"/>
              </w:rPr>
              <w:t>该地块上的房屋建筑面积。</w:t>
            </w:r>
          </w:p>
        </w:tc>
      </w:tr>
      <w:tr w14:paraId="4AC7C9EF">
        <w:tblPrEx>
          <w:tblCellMar>
            <w:top w:w="0" w:type="dxa"/>
            <w:left w:w="108" w:type="dxa"/>
            <w:bottom w:w="0" w:type="dxa"/>
            <w:right w:w="108" w:type="dxa"/>
          </w:tblCellMar>
        </w:tblPrEx>
        <w:trPr>
          <w:trHeight w:val="288" w:hRule="atLeast"/>
        </w:trPr>
        <w:tc>
          <w:tcPr>
            <w:tcW w:w="141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5B3BB6">
            <w:pPr>
              <w:widowControl/>
              <w:jc w:val="center"/>
              <w:textAlignment w:val="center"/>
              <w:rPr>
                <w:rFonts w:eastAsia="仿宋_GB2312"/>
                <w:color w:val="auto"/>
                <w:kern w:val="0"/>
                <w:sz w:val="24"/>
                <w:szCs w:val="24"/>
                <w:highlight w:val="none"/>
                <w:lang w:bidi="ar"/>
              </w:rPr>
            </w:pPr>
          </w:p>
        </w:tc>
        <w:tc>
          <w:tcPr>
            <w:tcW w:w="14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81E9A5">
            <w:pPr>
              <w:widowControl/>
              <w:jc w:val="center"/>
              <w:textAlignment w:val="center"/>
              <w:rPr>
                <w:rFonts w:eastAsia="仿宋_GB2312"/>
                <w:color w:val="auto"/>
                <w:kern w:val="0"/>
                <w:sz w:val="24"/>
                <w:szCs w:val="24"/>
                <w:highlight w:val="none"/>
                <w:lang w:bidi="ar"/>
              </w:rPr>
            </w:pPr>
            <w:r>
              <w:rPr>
                <w:rFonts w:eastAsia="仿宋_GB2312"/>
                <w:color w:val="auto"/>
                <w:kern w:val="0"/>
                <w:sz w:val="24"/>
                <w:szCs w:val="24"/>
                <w:highlight w:val="none"/>
                <w:lang w:bidi="ar"/>
              </w:rPr>
              <w:t>基础设施配套水平</w:t>
            </w:r>
          </w:p>
        </w:tc>
        <w:tc>
          <w:tcPr>
            <w:tcW w:w="2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B9884">
            <w:pPr>
              <w:widowControl/>
              <w:jc w:val="center"/>
              <w:textAlignment w:val="center"/>
              <w:rPr>
                <w:rFonts w:eastAsia="仿宋_GB2312"/>
                <w:color w:val="auto"/>
                <w:kern w:val="0"/>
                <w:sz w:val="24"/>
                <w:szCs w:val="24"/>
                <w:highlight w:val="none"/>
                <w:lang w:bidi="ar"/>
              </w:rPr>
            </w:pPr>
            <w:r>
              <w:rPr>
                <w:rFonts w:eastAsia="仿宋_GB2312"/>
                <w:color w:val="auto"/>
                <w:kern w:val="0"/>
                <w:sz w:val="24"/>
                <w:szCs w:val="24"/>
                <w:highlight w:val="none"/>
                <w:lang w:bidi="ar"/>
              </w:rPr>
              <w:t>“三通一平”、“五通、“七通一平</w:t>
            </w:r>
          </w:p>
        </w:tc>
      </w:tr>
      <w:tr w14:paraId="19896CCD">
        <w:tblPrEx>
          <w:tblCellMar>
            <w:top w:w="0" w:type="dxa"/>
            <w:left w:w="108" w:type="dxa"/>
            <w:bottom w:w="0" w:type="dxa"/>
            <w:right w:w="108" w:type="dxa"/>
          </w:tblCellMar>
        </w:tblPrEx>
        <w:trPr>
          <w:trHeight w:val="864" w:hRule="atLeast"/>
        </w:trPr>
        <w:tc>
          <w:tcPr>
            <w:tcW w:w="141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09037F">
            <w:pPr>
              <w:widowControl/>
              <w:jc w:val="center"/>
              <w:textAlignment w:val="center"/>
              <w:rPr>
                <w:rFonts w:eastAsia="仿宋_GB2312"/>
                <w:color w:val="auto"/>
                <w:kern w:val="0"/>
                <w:sz w:val="24"/>
                <w:szCs w:val="24"/>
                <w:highlight w:val="none"/>
                <w:lang w:bidi="ar"/>
              </w:rPr>
            </w:pPr>
            <w:r>
              <w:rPr>
                <w:rFonts w:eastAsia="仿宋_GB2312"/>
                <w:color w:val="auto"/>
                <w:kern w:val="0"/>
                <w:sz w:val="24"/>
                <w:szCs w:val="24"/>
                <w:highlight w:val="none"/>
                <w:lang w:bidi="ar"/>
              </w:rPr>
              <w:t>用地手续信息</w:t>
            </w:r>
          </w:p>
        </w:tc>
        <w:tc>
          <w:tcPr>
            <w:tcW w:w="14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1E263A">
            <w:pPr>
              <w:widowControl/>
              <w:jc w:val="center"/>
              <w:textAlignment w:val="center"/>
              <w:rPr>
                <w:rFonts w:eastAsia="仿宋_GB2312"/>
                <w:color w:val="auto"/>
                <w:kern w:val="0"/>
                <w:sz w:val="24"/>
                <w:szCs w:val="24"/>
                <w:highlight w:val="none"/>
                <w:lang w:bidi="ar"/>
              </w:rPr>
            </w:pPr>
            <w:r>
              <w:rPr>
                <w:rFonts w:eastAsia="仿宋_GB2312"/>
                <w:color w:val="auto"/>
                <w:kern w:val="0"/>
                <w:sz w:val="24"/>
                <w:szCs w:val="24"/>
                <w:highlight w:val="none"/>
                <w:lang w:bidi="ar"/>
              </w:rPr>
              <w:t>土地使用权人</w:t>
            </w:r>
          </w:p>
        </w:tc>
        <w:tc>
          <w:tcPr>
            <w:tcW w:w="2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10D64D">
            <w:pPr>
              <w:widowControl/>
              <w:jc w:val="center"/>
              <w:textAlignment w:val="center"/>
              <w:rPr>
                <w:rFonts w:eastAsia="仿宋_GB2312"/>
                <w:color w:val="auto"/>
                <w:kern w:val="0"/>
                <w:sz w:val="24"/>
                <w:szCs w:val="24"/>
                <w:highlight w:val="none"/>
                <w:lang w:bidi="ar"/>
              </w:rPr>
            </w:pPr>
            <w:r>
              <w:rPr>
                <w:rFonts w:eastAsia="仿宋_GB2312"/>
                <w:color w:val="auto"/>
                <w:kern w:val="0"/>
                <w:sz w:val="24"/>
                <w:szCs w:val="24"/>
                <w:highlight w:val="none"/>
                <w:lang w:bidi="ar"/>
              </w:rPr>
              <w:t>指土地证上的土地使用权人，若已获供地批准但未取得土地证的，以《建设用地批准书》中用地单位名称为准</w:t>
            </w:r>
          </w:p>
        </w:tc>
      </w:tr>
      <w:tr w14:paraId="4D42EF76">
        <w:tblPrEx>
          <w:tblCellMar>
            <w:top w:w="0" w:type="dxa"/>
            <w:left w:w="108" w:type="dxa"/>
            <w:bottom w:w="0" w:type="dxa"/>
            <w:right w:w="108" w:type="dxa"/>
          </w:tblCellMar>
        </w:tblPrEx>
        <w:trPr>
          <w:trHeight w:val="288" w:hRule="atLeast"/>
        </w:trPr>
        <w:tc>
          <w:tcPr>
            <w:tcW w:w="141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264233">
            <w:pPr>
              <w:widowControl/>
              <w:jc w:val="center"/>
              <w:textAlignment w:val="center"/>
              <w:rPr>
                <w:rFonts w:eastAsia="仿宋_GB2312"/>
                <w:color w:val="auto"/>
                <w:kern w:val="0"/>
                <w:sz w:val="24"/>
                <w:szCs w:val="24"/>
                <w:highlight w:val="none"/>
                <w:lang w:bidi="ar"/>
              </w:rPr>
            </w:pPr>
          </w:p>
        </w:tc>
        <w:tc>
          <w:tcPr>
            <w:tcW w:w="14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7F4B3">
            <w:pPr>
              <w:widowControl/>
              <w:jc w:val="center"/>
              <w:textAlignment w:val="center"/>
              <w:rPr>
                <w:rFonts w:eastAsia="仿宋_GB2312"/>
                <w:color w:val="auto"/>
                <w:kern w:val="0"/>
                <w:sz w:val="24"/>
                <w:szCs w:val="24"/>
                <w:highlight w:val="none"/>
                <w:lang w:bidi="ar"/>
              </w:rPr>
            </w:pPr>
            <w:r>
              <w:rPr>
                <w:rFonts w:eastAsia="仿宋_GB2312"/>
                <w:color w:val="auto"/>
                <w:kern w:val="0"/>
                <w:sz w:val="24"/>
                <w:szCs w:val="24"/>
                <w:highlight w:val="none"/>
                <w:lang w:bidi="ar"/>
              </w:rPr>
              <w:t>批地时间</w:t>
            </w:r>
          </w:p>
        </w:tc>
        <w:tc>
          <w:tcPr>
            <w:tcW w:w="2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4E323C">
            <w:pPr>
              <w:widowControl/>
              <w:jc w:val="center"/>
              <w:textAlignment w:val="center"/>
              <w:rPr>
                <w:rFonts w:eastAsia="仿宋_GB2312"/>
                <w:color w:val="auto"/>
                <w:kern w:val="0"/>
                <w:sz w:val="24"/>
                <w:szCs w:val="24"/>
                <w:highlight w:val="none"/>
                <w:lang w:bidi="ar"/>
              </w:rPr>
            </w:pPr>
            <w:r>
              <w:rPr>
                <w:rFonts w:eastAsia="仿宋_GB2312"/>
                <w:color w:val="auto"/>
                <w:kern w:val="0"/>
                <w:sz w:val="24"/>
                <w:szCs w:val="24"/>
                <w:highlight w:val="none"/>
                <w:lang w:bidi="ar"/>
              </w:rPr>
              <w:t>批准用地批准文件的时间</w:t>
            </w:r>
          </w:p>
        </w:tc>
      </w:tr>
      <w:tr w14:paraId="1C3264EF">
        <w:tblPrEx>
          <w:tblCellMar>
            <w:top w:w="0" w:type="dxa"/>
            <w:left w:w="108" w:type="dxa"/>
            <w:bottom w:w="0" w:type="dxa"/>
            <w:right w:w="108" w:type="dxa"/>
          </w:tblCellMar>
        </w:tblPrEx>
        <w:trPr>
          <w:trHeight w:val="576" w:hRule="atLeast"/>
        </w:trPr>
        <w:tc>
          <w:tcPr>
            <w:tcW w:w="141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F2625">
            <w:pPr>
              <w:widowControl/>
              <w:jc w:val="center"/>
              <w:textAlignment w:val="center"/>
              <w:rPr>
                <w:rFonts w:eastAsia="仿宋_GB2312"/>
                <w:color w:val="auto"/>
                <w:kern w:val="0"/>
                <w:sz w:val="24"/>
                <w:szCs w:val="24"/>
                <w:highlight w:val="none"/>
                <w:lang w:bidi="ar"/>
              </w:rPr>
            </w:pPr>
          </w:p>
        </w:tc>
        <w:tc>
          <w:tcPr>
            <w:tcW w:w="14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6E4585">
            <w:pPr>
              <w:widowControl/>
              <w:jc w:val="center"/>
              <w:textAlignment w:val="center"/>
              <w:rPr>
                <w:rFonts w:eastAsia="仿宋_GB2312"/>
                <w:color w:val="auto"/>
                <w:kern w:val="0"/>
                <w:sz w:val="24"/>
                <w:szCs w:val="24"/>
                <w:highlight w:val="none"/>
                <w:lang w:bidi="ar"/>
              </w:rPr>
            </w:pPr>
            <w:r>
              <w:rPr>
                <w:rFonts w:eastAsia="仿宋_GB2312"/>
                <w:color w:val="auto"/>
                <w:kern w:val="0"/>
                <w:sz w:val="24"/>
                <w:szCs w:val="24"/>
                <w:highlight w:val="none"/>
                <w:lang w:bidi="ar"/>
              </w:rPr>
              <w:t>批地用途</w:t>
            </w:r>
          </w:p>
        </w:tc>
        <w:tc>
          <w:tcPr>
            <w:tcW w:w="2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C495E2">
            <w:pPr>
              <w:widowControl/>
              <w:jc w:val="center"/>
              <w:textAlignment w:val="center"/>
              <w:rPr>
                <w:rFonts w:eastAsia="仿宋_GB2312"/>
                <w:color w:val="auto"/>
                <w:kern w:val="0"/>
                <w:sz w:val="24"/>
                <w:szCs w:val="24"/>
                <w:highlight w:val="none"/>
                <w:lang w:bidi="ar"/>
              </w:rPr>
            </w:pPr>
            <w:r>
              <w:rPr>
                <w:rFonts w:eastAsia="仿宋_GB2312"/>
                <w:color w:val="auto"/>
                <w:kern w:val="0"/>
                <w:sz w:val="24"/>
                <w:szCs w:val="24"/>
                <w:highlight w:val="none"/>
                <w:lang w:bidi="ar"/>
              </w:rPr>
              <w:t>经国务院或省级人民政府批准土地征用或农地转用时确定的土地用途</w:t>
            </w:r>
          </w:p>
        </w:tc>
      </w:tr>
      <w:tr w14:paraId="03090589">
        <w:tblPrEx>
          <w:tblCellMar>
            <w:top w:w="0" w:type="dxa"/>
            <w:left w:w="108" w:type="dxa"/>
            <w:bottom w:w="0" w:type="dxa"/>
            <w:right w:w="108" w:type="dxa"/>
          </w:tblCellMar>
        </w:tblPrEx>
        <w:trPr>
          <w:trHeight w:val="288" w:hRule="atLeast"/>
        </w:trPr>
        <w:tc>
          <w:tcPr>
            <w:tcW w:w="141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B31FF">
            <w:pPr>
              <w:widowControl/>
              <w:jc w:val="center"/>
              <w:textAlignment w:val="center"/>
              <w:rPr>
                <w:rFonts w:eastAsia="仿宋_GB2312"/>
                <w:color w:val="auto"/>
                <w:kern w:val="0"/>
                <w:sz w:val="24"/>
                <w:szCs w:val="24"/>
                <w:highlight w:val="none"/>
                <w:lang w:bidi="ar"/>
              </w:rPr>
            </w:pPr>
          </w:p>
        </w:tc>
        <w:tc>
          <w:tcPr>
            <w:tcW w:w="14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494FC">
            <w:pPr>
              <w:widowControl/>
              <w:jc w:val="center"/>
              <w:textAlignment w:val="center"/>
              <w:rPr>
                <w:rFonts w:eastAsia="仿宋_GB2312"/>
                <w:color w:val="auto"/>
                <w:kern w:val="0"/>
                <w:sz w:val="24"/>
                <w:szCs w:val="24"/>
                <w:highlight w:val="none"/>
                <w:lang w:bidi="ar"/>
              </w:rPr>
            </w:pPr>
            <w:r>
              <w:rPr>
                <w:rFonts w:eastAsia="仿宋_GB2312"/>
                <w:color w:val="auto"/>
                <w:kern w:val="0"/>
                <w:sz w:val="24"/>
                <w:szCs w:val="24"/>
                <w:highlight w:val="none"/>
                <w:lang w:bidi="ar"/>
              </w:rPr>
              <w:t>供地时间</w:t>
            </w:r>
          </w:p>
        </w:tc>
        <w:tc>
          <w:tcPr>
            <w:tcW w:w="2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710F41">
            <w:pPr>
              <w:widowControl/>
              <w:jc w:val="center"/>
              <w:textAlignment w:val="center"/>
              <w:rPr>
                <w:rFonts w:eastAsia="仿宋_GB2312"/>
                <w:color w:val="auto"/>
                <w:kern w:val="0"/>
                <w:sz w:val="24"/>
                <w:szCs w:val="24"/>
                <w:highlight w:val="none"/>
                <w:lang w:bidi="ar"/>
              </w:rPr>
            </w:pPr>
            <w:r>
              <w:rPr>
                <w:rFonts w:eastAsia="仿宋_GB2312"/>
                <w:color w:val="auto"/>
                <w:kern w:val="0"/>
                <w:sz w:val="24"/>
                <w:szCs w:val="24"/>
                <w:highlight w:val="none"/>
                <w:lang w:bidi="ar"/>
              </w:rPr>
              <w:t>依据土地出让合同或划拨决定书签订的时间</w:t>
            </w:r>
          </w:p>
        </w:tc>
      </w:tr>
      <w:tr w14:paraId="3E86CA41">
        <w:tblPrEx>
          <w:tblCellMar>
            <w:top w:w="0" w:type="dxa"/>
            <w:left w:w="108" w:type="dxa"/>
            <w:bottom w:w="0" w:type="dxa"/>
            <w:right w:w="108" w:type="dxa"/>
          </w:tblCellMar>
        </w:tblPrEx>
        <w:trPr>
          <w:trHeight w:val="288" w:hRule="atLeast"/>
        </w:trPr>
        <w:tc>
          <w:tcPr>
            <w:tcW w:w="141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BFB5C1">
            <w:pPr>
              <w:widowControl/>
              <w:jc w:val="center"/>
              <w:textAlignment w:val="center"/>
              <w:rPr>
                <w:rFonts w:eastAsia="仿宋_GB2312"/>
                <w:color w:val="auto"/>
                <w:kern w:val="0"/>
                <w:sz w:val="24"/>
                <w:szCs w:val="24"/>
                <w:highlight w:val="none"/>
                <w:lang w:bidi="ar"/>
              </w:rPr>
            </w:pPr>
          </w:p>
        </w:tc>
        <w:tc>
          <w:tcPr>
            <w:tcW w:w="14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03EE9">
            <w:pPr>
              <w:widowControl/>
              <w:jc w:val="center"/>
              <w:textAlignment w:val="center"/>
              <w:rPr>
                <w:rFonts w:eastAsia="仿宋_GB2312"/>
                <w:color w:val="auto"/>
                <w:kern w:val="0"/>
                <w:sz w:val="24"/>
                <w:szCs w:val="24"/>
                <w:highlight w:val="none"/>
                <w:lang w:bidi="ar"/>
              </w:rPr>
            </w:pPr>
            <w:r>
              <w:rPr>
                <w:rFonts w:eastAsia="仿宋_GB2312"/>
                <w:color w:val="auto"/>
                <w:kern w:val="0"/>
                <w:sz w:val="24"/>
                <w:szCs w:val="24"/>
                <w:highlight w:val="none"/>
                <w:lang w:bidi="ar"/>
              </w:rPr>
              <w:t>供地用途</w:t>
            </w:r>
          </w:p>
        </w:tc>
        <w:tc>
          <w:tcPr>
            <w:tcW w:w="2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9664EA">
            <w:pPr>
              <w:widowControl/>
              <w:jc w:val="center"/>
              <w:textAlignment w:val="center"/>
              <w:rPr>
                <w:rFonts w:eastAsia="仿宋_GB2312"/>
                <w:color w:val="auto"/>
                <w:kern w:val="0"/>
                <w:sz w:val="24"/>
                <w:szCs w:val="24"/>
                <w:highlight w:val="none"/>
                <w:lang w:bidi="ar"/>
              </w:rPr>
            </w:pPr>
            <w:r>
              <w:rPr>
                <w:rFonts w:eastAsia="仿宋_GB2312"/>
                <w:color w:val="auto"/>
                <w:kern w:val="0"/>
                <w:sz w:val="24"/>
                <w:szCs w:val="24"/>
                <w:highlight w:val="none"/>
                <w:lang w:bidi="ar"/>
              </w:rPr>
              <w:t>办理供地手续时确定的土地用途</w:t>
            </w:r>
          </w:p>
        </w:tc>
      </w:tr>
      <w:tr w14:paraId="5F6528F8">
        <w:tblPrEx>
          <w:tblCellMar>
            <w:top w:w="0" w:type="dxa"/>
            <w:left w:w="108" w:type="dxa"/>
            <w:bottom w:w="0" w:type="dxa"/>
            <w:right w:w="108" w:type="dxa"/>
          </w:tblCellMar>
        </w:tblPrEx>
        <w:trPr>
          <w:trHeight w:val="288" w:hRule="atLeast"/>
        </w:trPr>
        <w:tc>
          <w:tcPr>
            <w:tcW w:w="1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654B4">
            <w:pPr>
              <w:widowControl/>
              <w:jc w:val="center"/>
              <w:textAlignment w:val="center"/>
              <w:rPr>
                <w:rFonts w:eastAsia="仿宋_GB2312"/>
                <w:color w:val="auto"/>
                <w:kern w:val="0"/>
                <w:sz w:val="24"/>
                <w:szCs w:val="24"/>
                <w:highlight w:val="none"/>
                <w:lang w:bidi="ar"/>
              </w:rPr>
            </w:pPr>
            <w:r>
              <w:rPr>
                <w:rFonts w:eastAsia="仿宋_GB2312"/>
                <w:color w:val="auto"/>
                <w:kern w:val="0"/>
                <w:sz w:val="24"/>
                <w:szCs w:val="24"/>
                <w:highlight w:val="none"/>
                <w:lang w:bidi="ar"/>
              </w:rPr>
              <w:t>其他信息</w:t>
            </w:r>
          </w:p>
        </w:tc>
        <w:tc>
          <w:tcPr>
            <w:tcW w:w="14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4B86CB">
            <w:pPr>
              <w:widowControl/>
              <w:jc w:val="center"/>
              <w:textAlignment w:val="center"/>
              <w:rPr>
                <w:rFonts w:eastAsia="仿宋_GB2312"/>
                <w:color w:val="auto"/>
                <w:kern w:val="0"/>
                <w:sz w:val="24"/>
                <w:szCs w:val="24"/>
                <w:highlight w:val="none"/>
                <w:lang w:bidi="ar"/>
              </w:rPr>
            </w:pPr>
            <w:r>
              <w:rPr>
                <w:rFonts w:eastAsia="仿宋_GB2312"/>
                <w:color w:val="auto"/>
                <w:kern w:val="0"/>
                <w:sz w:val="24"/>
                <w:szCs w:val="24"/>
                <w:highlight w:val="none"/>
                <w:lang w:bidi="ar"/>
              </w:rPr>
              <w:t>存量用地类型</w:t>
            </w:r>
          </w:p>
        </w:tc>
        <w:tc>
          <w:tcPr>
            <w:tcW w:w="2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866C67">
            <w:pPr>
              <w:widowControl/>
              <w:jc w:val="center"/>
              <w:textAlignment w:val="center"/>
              <w:rPr>
                <w:rFonts w:eastAsia="仿宋_GB2312"/>
                <w:color w:val="auto"/>
                <w:kern w:val="0"/>
                <w:sz w:val="24"/>
                <w:szCs w:val="24"/>
                <w:highlight w:val="none"/>
                <w:lang w:bidi="ar"/>
              </w:rPr>
            </w:pPr>
            <w:r>
              <w:rPr>
                <w:rFonts w:eastAsia="仿宋_GB2312"/>
                <w:color w:val="auto"/>
                <w:kern w:val="0"/>
                <w:sz w:val="24"/>
                <w:szCs w:val="24"/>
                <w:highlight w:val="none"/>
                <w:lang w:bidi="ar"/>
              </w:rPr>
              <w:t>批而未供土地、闲置土地和低效用地三种类型</w:t>
            </w:r>
          </w:p>
        </w:tc>
      </w:tr>
    </w:tbl>
    <w:p w14:paraId="6DE1E87C">
      <w:pPr>
        <w:pStyle w:val="10"/>
        <w:keepNext w:val="0"/>
        <w:keepLines w:val="0"/>
        <w:pageBreakBefore w:val="0"/>
        <w:widowControl/>
        <w:kinsoku/>
        <w:wordWrap/>
        <w:overflowPunct/>
        <w:topLinePunct w:val="0"/>
        <w:autoSpaceDE/>
        <w:autoSpaceDN/>
        <w:bidi w:val="0"/>
        <w:adjustRightInd/>
        <w:snapToGrid/>
        <w:spacing w:line="240" w:lineRule="auto"/>
        <w:ind w:left="0" w:leftChars="0" w:firstLine="0" w:firstLineChars="0"/>
        <w:textAlignment w:val="auto"/>
        <w:rPr>
          <w:color w:val="auto"/>
          <w:sz w:val="24"/>
          <w:szCs w:val="28"/>
          <w:highlight w:val="none"/>
          <w:lang w:bidi="ar"/>
        </w:rPr>
      </w:pPr>
      <w:r>
        <w:rPr>
          <w:color w:val="auto"/>
          <w:sz w:val="24"/>
          <w:szCs w:val="28"/>
          <w:highlight w:val="none"/>
          <w:lang w:bidi="ar"/>
        </w:rPr>
        <w:t>来源：DB 34/T 3779-2020存量建设用地调查技术规范</w:t>
      </w:r>
    </w:p>
    <w:p w14:paraId="718B1B12">
      <w:pPr>
        <w:pStyle w:val="10"/>
        <w:keepNext w:val="0"/>
        <w:keepLines w:val="0"/>
        <w:pageBreakBefore w:val="0"/>
        <w:widowControl/>
        <w:kinsoku/>
        <w:wordWrap/>
        <w:overflowPunct/>
        <w:topLinePunct w:val="0"/>
        <w:autoSpaceDE/>
        <w:autoSpaceDN/>
        <w:bidi w:val="0"/>
        <w:adjustRightInd/>
        <w:snapToGrid/>
        <w:ind w:firstLine="640" w:firstLineChars="200"/>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color w:val="auto"/>
          <w:kern w:val="2"/>
          <w:sz w:val="32"/>
          <w:szCs w:val="32"/>
          <w:highlight w:val="none"/>
          <w:lang w:val="en-US" w:eastAsia="zh-CN" w:bidi="ar-SA"/>
        </w:rPr>
        <w:t>（4）自然生态保护修复</w:t>
      </w:r>
    </w:p>
    <w:p w14:paraId="766744C6">
      <w:pPr>
        <w:pStyle w:val="10"/>
        <w:keepNext w:val="0"/>
        <w:keepLines w:val="0"/>
        <w:pageBreakBefore w:val="0"/>
        <w:widowControl/>
        <w:kinsoku/>
        <w:wordWrap/>
        <w:overflowPunct/>
        <w:topLinePunct w:val="0"/>
        <w:autoSpaceDE/>
        <w:autoSpaceDN/>
        <w:bidi w:val="0"/>
        <w:adjustRightInd/>
        <w:snapToGrid/>
        <w:ind w:firstLine="640" w:firstLineChars="200"/>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color w:val="auto"/>
          <w:kern w:val="2"/>
          <w:sz w:val="32"/>
          <w:szCs w:val="32"/>
          <w:highlight w:val="none"/>
          <w:lang w:val="en-US" w:eastAsia="zh-CN" w:bidi="ar-SA"/>
        </w:rPr>
        <w:t>查清自然生态保护、自然生态修复情形。调查成果可应用在生态保护红线、全域土地综合整治和土地复垦项目、山水林田湖草沙一体化保护和修复等场景。</w:t>
      </w:r>
    </w:p>
    <w:tbl>
      <w:tblPr>
        <w:tblStyle w:val="12"/>
        <w:tblW w:w="4996" w:type="pct"/>
        <w:tblInd w:w="0" w:type="dxa"/>
        <w:tblLayout w:type="fixed"/>
        <w:tblCellMar>
          <w:top w:w="0" w:type="dxa"/>
          <w:left w:w="108" w:type="dxa"/>
          <w:bottom w:w="0" w:type="dxa"/>
          <w:right w:w="108" w:type="dxa"/>
        </w:tblCellMar>
      </w:tblPr>
      <w:tblGrid>
        <w:gridCol w:w="1523"/>
        <w:gridCol w:w="2361"/>
        <w:gridCol w:w="3034"/>
        <w:gridCol w:w="2249"/>
      </w:tblGrid>
      <w:tr w14:paraId="22B9A17A">
        <w:tblPrEx>
          <w:tblCellMar>
            <w:top w:w="0" w:type="dxa"/>
            <w:left w:w="108" w:type="dxa"/>
            <w:bottom w:w="0" w:type="dxa"/>
            <w:right w:w="108" w:type="dxa"/>
          </w:tblCellMar>
        </w:tblPrEx>
        <w:trPr>
          <w:trHeight w:val="289" w:hRule="atLeast"/>
          <w:tblHeader/>
        </w:trPr>
        <w:tc>
          <w:tcPr>
            <w:tcW w:w="8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BA193B">
            <w:pPr>
              <w:widowControl/>
              <w:jc w:val="center"/>
              <w:textAlignment w:val="center"/>
              <w:rPr>
                <w:rFonts w:hint="default" w:ascii="Times New Roman" w:hAnsi="Times New Roman" w:eastAsia="仿宋_GB2312" w:cs="Times New Roman"/>
                <w:b/>
                <w:bCs/>
                <w:color w:val="auto"/>
                <w:sz w:val="24"/>
                <w:szCs w:val="24"/>
                <w:highlight w:val="none"/>
              </w:rPr>
            </w:pPr>
            <w:r>
              <w:rPr>
                <w:rFonts w:hint="default" w:ascii="Times New Roman" w:hAnsi="Times New Roman" w:eastAsia="仿宋_GB2312" w:cs="Times New Roman"/>
                <w:b/>
                <w:bCs/>
                <w:color w:val="auto"/>
                <w:kern w:val="0"/>
                <w:sz w:val="24"/>
                <w:szCs w:val="24"/>
                <w:highlight w:val="none"/>
                <w:lang w:bidi="ar"/>
              </w:rPr>
              <w:t>调查类别</w:t>
            </w:r>
          </w:p>
        </w:tc>
        <w:tc>
          <w:tcPr>
            <w:tcW w:w="12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ACFD4">
            <w:pPr>
              <w:widowControl/>
              <w:jc w:val="center"/>
              <w:textAlignment w:val="center"/>
              <w:rPr>
                <w:rFonts w:hint="default" w:ascii="Times New Roman" w:hAnsi="Times New Roman" w:eastAsia="仿宋_GB2312" w:cs="Times New Roman"/>
                <w:b/>
                <w:bCs/>
                <w:color w:val="auto"/>
                <w:sz w:val="24"/>
                <w:szCs w:val="24"/>
                <w:highlight w:val="none"/>
              </w:rPr>
            </w:pPr>
            <w:r>
              <w:rPr>
                <w:rFonts w:hint="default" w:ascii="Times New Roman" w:hAnsi="Times New Roman" w:eastAsia="仿宋_GB2312" w:cs="Times New Roman"/>
                <w:b/>
                <w:bCs/>
                <w:color w:val="auto"/>
                <w:kern w:val="0"/>
                <w:sz w:val="24"/>
                <w:szCs w:val="24"/>
                <w:highlight w:val="none"/>
                <w:lang w:bidi="ar"/>
              </w:rPr>
              <w:t>调查内容</w:t>
            </w: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948C68">
            <w:pPr>
              <w:widowControl/>
              <w:jc w:val="center"/>
              <w:textAlignment w:val="center"/>
              <w:rPr>
                <w:rFonts w:hint="default" w:ascii="Times New Roman" w:hAnsi="Times New Roman" w:eastAsia="仿宋_GB2312" w:cs="Times New Roman"/>
                <w:b/>
                <w:bCs/>
                <w:color w:val="auto"/>
                <w:sz w:val="24"/>
                <w:szCs w:val="24"/>
                <w:highlight w:val="none"/>
              </w:rPr>
            </w:pPr>
            <w:r>
              <w:rPr>
                <w:rFonts w:hint="default" w:ascii="Times New Roman" w:hAnsi="Times New Roman" w:eastAsia="仿宋_GB2312" w:cs="Times New Roman"/>
                <w:b/>
                <w:bCs/>
                <w:color w:val="auto"/>
                <w:kern w:val="0"/>
                <w:sz w:val="24"/>
                <w:szCs w:val="24"/>
                <w:highlight w:val="none"/>
                <w:lang w:bidi="ar"/>
              </w:rPr>
              <w:t>说明</w:t>
            </w:r>
          </w:p>
        </w:tc>
        <w:tc>
          <w:tcPr>
            <w:tcW w:w="1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AAA0E">
            <w:pPr>
              <w:widowControl/>
              <w:jc w:val="center"/>
              <w:textAlignment w:val="center"/>
              <w:rPr>
                <w:rFonts w:hint="default" w:ascii="Times New Roman" w:hAnsi="Times New Roman" w:eastAsia="仿宋_GB2312" w:cs="Times New Roman"/>
                <w:b/>
                <w:bCs/>
                <w:color w:val="auto"/>
                <w:sz w:val="24"/>
                <w:szCs w:val="24"/>
                <w:highlight w:val="none"/>
              </w:rPr>
            </w:pPr>
            <w:r>
              <w:rPr>
                <w:rFonts w:hint="default" w:ascii="Times New Roman" w:hAnsi="Times New Roman" w:eastAsia="仿宋_GB2312" w:cs="Times New Roman"/>
                <w:b/>
                <w:bCs/>
                <w:color w:val="auto"/>
                <w:kern w:val="0"/>
                <w:sz w:val="24"/>
                <w:szCs w:val="24"/>
                <w:highlight w:val="none"/>
                <w:lang w:bidi="ar"/>
              </w:rPr>
              <w:t>来源</w:t>
            </w:r>
          </w:p>
        </w:tc>
      </w:tr>
      <w:tr w14:paraId="3E104670">
        <w:tblPrEx>
          <w:tblCellMar>
            <w:top w:w="0" w:type="dxa"/>
            <w:left w:w="108" w:type="dxa"/>
            <w:bottom w:w="0" w:type="dxa"/>
            <w:right w:w="108" w:type="dxa"/>
          </w:tblCellMar>
        </w:tblPrEx>
        <w:trPr>
          <w:trHeight w:val="864" w:hRule="atLeast"/>
        </w:trPr>
        <w:tc>
          <w:tcPr>
            <w:tcW w:w="83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07FFB7">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自然生态保护</w:t>
            </w:r>
          </w:p>
        </w:tc>
        <w:tc>
          <w:tcPr>
            <w:tcW w:w="12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D4847A">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人为活动类型</w:t>
            </w: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A53FF2">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321工业开发建设、22能源开发建设、323矿产资源开发、324旅游开发建设、325交通开发建设、326居民点建设、327养殖开发、331其他开发建设</w:t>
            </w:r>
          </w:p>
        </w:tc>
        <w:tc>
          <w:tcPr>
            <w:tcW w:w="1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833004">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HJ1337-2023生态保护红线监管技术规范疑似生态破坏问题图斑遥感识别(试行)</w:t>
            </w:r>
          </w:p>
        </w:tc>
      </w:tr>
      <w:tr w14:paraId="02F8F86F">
        <w:tblPrEx>
          <w:tblCellMar>
            <w:top w:w="0" w:type="dxa"/>
            <w:left w:w="108" w:type="dxa"/>
            <w:bottom w:w="0" w:type="dxa"/>
            <w:right w:w="108" w:type="dxa"/>
          </w:tblCellMar>
        </w:tblPrEx>
        <w:trPr>
          <w:trHeight w:val="288" w:hRule="atLeast"/>
        </w:trPr>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2C4770">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2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AE317B">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新增人类活动面积</w:t>
            </w: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5D0D43">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红线内新增加的生态破坏情况</w:t>
            </w:r>
          </w:p>
        </w:tc>
        <w:tc>
          <w:tcPr>
            <w:tcW w:w="122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1BF681">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HJ1141-2020生态保护红线监管技术规范生态状况监测(试行)</w:t>
            </w:r>
          </w:p>
        </w:tc>
      </w:tr>
      <w:tr w14:paraId="575F4055">
        <w:tblPrEx>
          <w:tblCellMar>
            <w:top w:w="0" w:type="dxa"/>
            <w:left w:w="108" w:type="dxa"/>
            <w:bottom w:w="0" w:type="dxa"/>
            <w:right w:w="108" w:type="dxa"/>
          </w:tblCellMar>
        </w:tblPrEx>
        <w:trPr>
          <w:trHeight w:val="288" w:hRule="atLeast"/>
        </w:trPr>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4522C1">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2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A8167">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规模扩大人类活动面积</w:t>
            </w: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3489F8">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红线内原有人类活动规模扩大的情况</w:t>
            </w:r>
          </w:p>
        </w:tc>
        <w:tc>
          <w:tcPr>
            <w:tcW w:w="12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4311B6">
            <w:pPr>
              <w:jc w:val="center"/>
              <w:rPr>
                <w:rFonts w:hint="default" w:ascii="Times New Roman" w:hAnsi="Times New Roman" w:eastAsia="仿宋_GB2312" w:cs="Times New Roman"/>
                <w:color w:val="auto"/>
                <w:kern w:val="0"/>
                <w:sz w:val="24"/>
                <w:szCs w:val="24"/>
                <w:highlight w:val="none"/>
                <w:lang w:bidi="ar"/>
              </w:rPr>
            </w:pPr>
          </w:p>
        </w:tc>
      </w:tr>
      <w:tr w14:paraId="11BCD98B">
        <w:tblPrEx>
          <w:tblCellMar>
            <w:top w:w="0" w:type="dxa"/>
            <w:left w:w="108" w:type="dxa"/>
            <w:bottom w:w="0" w:type="dxa"/>
            <w:right w:w="108" w:type="dxa"/>
          </w:tblCellMar>
        </w:tblPrEx>
        <w:trPr>
          <w:trHeight w:val="576" w:hRule="atLeast"/>
        </w:trPr>
        <w:tc>
          <w:tcPr>
            <w:tcW w:w="83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C57B7">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自然生态修复</w:t>
            </w:r>
          </w:p>
        </w:tc>
        <w:tc>
          <w:tcPr>
            <w:tcW w:w="12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2316C">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重要生态系统面积</w:t>
            </w: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D8C59D">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森林、灌丛、草地、湿地、农田（非生态用地转化）等面积增长情况。</w:t>
            </w:r>
          </w:p>
        </w:tc>
        <w:tc>
          <w:tcPr>
            <w:tcW w:w="122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64F4A18">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HJ1272-2022生态保护修复成效评估技术指南(试行)</w:t>
            </w:r>
          </w:p>
        </w:tc>
      </w:tr>
      <w:tr w14:paraId="34967269">
        <w:tblPrEx>
          <w:tblCellMar>
            <w:top w:w="0" w:type="dxa"/>
            <w:left w:w="108" w:type="dxa"/>
            <w:bottom w:w="0" w:type="dxa"/>
            <w:right w:w="108" w:type="dxa"/>
          </w:tblCellMar>
        </w:tblPrEx>
        <w:trPr>
          <w:trHeight w:val="288" w:hRule="atLeast"/>
        </w:trPr>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6222C">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2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7A207A">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生态连通度</w:t>
            </w: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5AC64">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农田（非生态用地转化）等面积增长情况</w:t>
            </w:r>
          </w:p>
        </w:tc>
        <w:tc>
          <w:tcPr>
            <w:tcW w:w="12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02590E">
            <w:pPr>
              <w:jc w:val="center"/>
              <w:rPr>
                <w:rFonts w:hint="default" w:ascii="Times New Roman" w:hAnsi="Times New Roman" w:eastAsia="仿宋_GB2312" w:cs="Times New Roman"/>
                <w:color w:val="auto"/>
                <w:kern w:val="0"/>
                <w:sz w:val="24"/>
                <w:szCs w:val="24"/>
                <w:highlight w:val="none"/>
                <w:lang w:bidi="ar"/>
              </w:rPr>
            </w:pPr>
          </w:p>
        </w:tc>
      </w:tr>
      <w:tr w14:paraId="5672EB58">
        <w:tblPrEx>
          <w:tblCellMar>
            <w:top w:w="0" w:type="dxa"/>
            <w:left w:w="108" w:type="dxa"/>
            <w:bottom w:w="0" w:type="dxa"/>
            <w:right w:w="108" w:type="dxa"/>
          </w:tblCellMar>
        </w:tblPrEx>
        <w:trPr>
          <w:trHeight w:val="288" w:hRule="atLeast"/>
        </w:trPr>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DE9897">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2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890CB">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植被覆盖度</w:t>
            </w: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53D0B1">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植被覆盖区域的生长季平均植被覆盖度提升情况</w:t>
            </w:r>
          </w:p>
        </w:tc>
        <w:tc>
          <w:tcPr>
            <w:tcW w:w="12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F2F929">
            <w:pPr>
              <w:jc w:val="center"/>
              <w:rPr>
                <w:rFonts w:hint="default" w:ascii="Times New Roman" w:hAnsi="Times New Roman" w:eastAsia="仿宋_GB2312" w:cs="Times New Roman"/>
                <w:color w:val="auto"/>
                <w:kern w:val="0"/>
                <w:sz w:val="24"/>
                <w:szCs w:val="24"/>
                <w:highlight w:val="none"/>
                <w:lang w:bidi="ar"/>
              </w:rPr>
            </w:pPr>
          </w:p>
        </w:tc>
      </w:tr>
      <w:tr w14:paraId="5D443603">
        <w:tblPrEx>
          <w:tblCellMar>
            <w:top w:w="0" w:type="dxa"/>
            <w:left w:w="108" w:type="dxa"/>
            <w:bottom w:w="0" w:type="dxa"/>
            <w:right w:w="108" w:type="dxa"/>
          </w:tblCellMar>
        </w:tblPrEx>
        <w:trPr>
          <w:trHeight w:val="288" w:hRule="atLeast"/>
        </w:trPr>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DA6C7">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28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411DC2">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地形</w:t>
            </w: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DB610">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地面坡度/(°)</w:t>
            </w:r>
          </w:p>
        </w:tc>
        <w:tc>
          <w:tcPr>
            <w:tcW w:w="122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2DA8EC">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TD/T1036-2013土地复垦质量控制标准</w:t>
            </w:r>
          </w:p>
        </w:tc>
      </w:tr>
      <w:tr w14:paraId="755D7E08">
        <w:tblPrEx>
          <w:tblCellMar>
            <w:top w:w="0" w:type="dxa"/>
            <w:left w:w="108" w:type="dxa"/>
            <w:bottom w:w="0" w:type="dxa"/>
            <w:right w:w="108" w:type="dxa"/>
          </w:tblCellMar>
        </w:tblPrEx>
        <w:trPr>
          <w:trHeight w:val="288" w:hRule="atLeast"/>
        </w:trPr>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D28D86">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28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5C8B8D">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C2B8BC">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平整度</w:t>
            </w:r>
          </w:p>
        </w:tc>
        <w:tc>
          <w:tcPr>
            <w:tcW w:w="12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663D13">
            <w:pPr>
              <w:jc w:val="center"/>
              <w:rPr>
                <w:rFonts w:hint="default" w:ascii="Times New Roman" w:hAnsi="Times New Roman" w:cs="Times New Roman"/>
                <w:color w:val="auto"/>
                <w:sz w:val="24"/>
                <w:szCs w:val="24"/>
                <w:highlight w:val="none"/>
              </w:rPr>
            </w:pPr>
          </w:p>
        </w:tc>
      </w:tr>
      <w:tr w14:paraId="77D6FEC7">
        <w:tblPrEx>
          <w:tblCellMar>
            <w:top w:w="0" w:type="dxa"/>
            <w:left w:w="108" w:type="dxa"/>
            <w:bottom w:w="0" w:type="dxa"/>
            <w:right w:w="108" w:type="dxa"/>
          </w:tblCellMar>
        </w:tblPrEx>
        <w:trPr>
          <w:trHeight w:val="288" w:hRule="atLeast"/>
        </w:trPr>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F20721">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28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1C914B">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土壤质量</w:t>
            </w: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9174C9">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有效土层厚度/cm</w:t>
            </w:r>
          </w:p>
        </w:tc>
        <w:tc>
          <w:tcPr>
            <w:tcW w:w="12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19CE89">
            <w:pPr>
              <w:jc w:val="center"/>
              <w:rPr>
                <w:rFonts w:hint="default" w:ascii="Times New Roman" w:hAnsi="Times New Roman" w:cs="Times New Roman"/>
                <w:color w:val="auto"/>
                <w:sz w:val="24"/>
                <w:szCs w:val="24"/>
                <w:highlight w:val="none"/>
              </w:rPr>
            </w:pPr>
          </w:p>
        </w:tc>
      </w:tr>
      <w:tr w14:paraId="1EFFCBEE">
        <w:tblPrEx>
          <w:tblCellMar>
            <w:top w:w="0" w:type="dxa"/>
            <w:left w:w="108" w:type="dxa"/>
            <w:bottom w:w="0" w:type="dxa"/>
            <w:right w:w="108" w:type="dxa"/>
          </w:tblCellMar>
        </w:tblPrEx>
        <w:trPr>
          <w:trHeight w:val="288" w:hRule="atLeast"/>
        </w:trPr>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20A0E3">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28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9BEDE">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6BAC07">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土壤质地</w:t>
            </w:r>
          </w:p>
        </w:tc>
        <w:tc>
          <w:tcPr>
            <w:tcW w:w="12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1AC87E">
            <w:pPr>
              <w:jc w:val="center"/>
              <w:rPr>
                <w:rFonts w:hint="default" w:ascii="Times New Roman" w:hAnsi="Times New Roman" w:cs="Times New Roman"/>
                <w:color w:val="auto"/>
                <w:sz w:val="24"/>
                <w:szCs w:val="24"/>
                <w:highlight w:val="none"/>
              </w:rPr>
            </w:pPr>
          </w:p>
        </w:tc>
      </w:tr>
      <w:tr w14:paraId="45D99E6E">
        <w:tblPrEx>
          <w:tblCellMar>
            <w:top w:w="0" w:type="dxa"/>
            <w:left w:w="108" w:type="dxa"/>
            <w:bottom w:w="0" w:type="dxa"/>
            <w:right w:w="108" w:type="dxa"/>
          </w:tblCellMar>
        </w:tblPrEx>
        <w:trPr>
          <w:trHeight w:val="288" w:hRule="atLeast"/>
        </w:trPr>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D08686">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28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4ACD2">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3E58AC">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电导率/(dS/m)</w:t>
            </w:r>
          </w:p>
        </w:tc>
        <w:tc>
          <w:tcPr>
            <w:tcW w:w="12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F02B05">
            <w:pPr>
              <w:jc w:val="center"/>
              <w:rPr>
                <w:rFonts w:hint="default" w:ascii="Times New Roman" w:hAnsi="Times New Roman" w:cs="Times New Roman"/>
                <w:color w:val="auto"/>
                <w:sz w:val="24"/>
                <w:szCs w:val="24"/>
                <w:highlight w:val="none"/>
              </w:rPr>
            </w:pPr>
          </w:p>
        </w:tc>
      </w:tr>
      <w:tr w14:paraId="2FF1E9DB">
        <w:tblPrEx>
          <w:tblCellMar>
            <w:top w:w="0" w:type="dxa"/>
            <w:left w:w="108" w:type="dxa"/>
            <w:bottom w:w="0" w:type="dxa"/>
            <w:right w:w="108" w:type="dxa"/>
          </w:tblCellMar>
        </w:tblPrEx>
        <w:trPr>
          <w:trHeight w:val="288" w:hRule="atLeast"/>
        </w:trPr>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CFAC48">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28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1DACD">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配套设施</w:t>
            </w: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2888AB">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灌溉</w:t>
            </w:r>
          </w:p>
        </w:tc>
        <w:tc>
          <w:tcPr>
            <w:tcW w:w="12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D37CD8">
            <w:pPr>
              <w:jc w:val="center"/>
              <w:rPr>
                <w:rFonts w:hint="default" w:ascii="Times New Roman" w:hAnsi="Times New Roman" w:cs="Times New Roman"/>
                <w:color w:val="auto"/>
                <w:sz w:val="24"/>
                <w:szCs w:val="24"/>
                <w:highlight w:val="none"/>
              </w:rPr>
            </w:pPr>
          </w:p>
        </w:tc>
      </w:tr>
      <w:tr w14:paraId="152DDE2B">
        <w:tblPrEx>
          <w:tblCellMar>
            <w:top w:w="0" w:type="dxa"/>
            <w:left w:w="108" w:type="dxa"/>
            <w:bottom w:w="0" w:type="dxa"/>
            <w:right w:w="108" w:type="dxa"/>
          </w:tblCellMar>
        </w:tblPrEx>
        <w:trPr>
          <w:trHeight w:val="288" w:hRule="atLeast"/>
        </w:trPr>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46805E">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28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5DF8C4">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C017B9">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排水</w:t>
            </w:r>
          </w:p>
        </w:tc>
        <w:tc>
          <w:tcPr>
            <w:tcW w:w="12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4D3A3E">
            <w:pPr>
              <w:jc w:val="center"/>
              <w:rPr>
                <w:rFonts w:hint="default" w:ascii="Times New Roman" w:hAnsi="Times New Roman" w:cs="Times New Roman"/>
                <w:color w:val="auto"/>
                <w:sz w:val="24"/>
                <w:szCs w:val="24"/>
                <w:highlight w:val="none"/>
              </w:rPr>
            </w:pPr>
          </w:p>
        </w:tc>
      </w:tr>
      <w:tr w14:paraId="710EFE90">
        <w:tblPrEx>
          <w:tblCellMar>
            <w:top w:w="0" w:type="dxa"/>
            <w:left w:w="108" w:type="dxa"/>
            <w:bottom w:w="0" w:type="dxa"/>
            <w:right w:w="108" w:type="dxa"/>
          </w:tblCellMar>
        </w:tblPrEx>
        <w:trPr>
          <w:trHeight w:val="288" w:hRule="atLeast"/>
        </w:trPr>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318F84">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28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A19A9">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A08C2">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道路</w:t>
            </w:r>
          </w:p>
        </w:tc>
        <w:tc>
          <w:tcPr>
            <w:tcW w:w="12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D1664A">
            <w:pPr>
              <w:jc w:val="center"/>
              <w:rPr>
                <w:rFonts w:hint="default" w:ascii="Times New Roman" w:hAnsi="Times New Roman" w:cs="Times New Roman"/>
                <w:color w:val="auto"/>
                <w:sz w:val="24"/>
                <w:szCs w:val="24"/>
                <w:highlight w:val="none"/>
              </w:rPr>
            </w:pPr>
          </w:p>
        </w:tc>
      </w:tr>
      <w:tr w14:paraId="60F895A1">
        <w:tblPrEx>
          <w:tblCellMar>
            <w:top w:w="0" w:type="dxa"/>
            <w:left w:w="108" w:type="dxa"/>
            <w:bottom w:w="0" w:type="dxa"/>
            <w:right w:w="108" w:type="dxa"/>
          </w:tblCellMar>
        </w:tblPrEx>
        <w:trPr>
          <w:trHeight w:val="288" w:hRule="atLeast"/>
        </w:trPr>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BD5536">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28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ED602">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32B3C9">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林网</w:t>
            </w:r>
          </w:p>
        </w:tc>
        <w:tc>
          <w:tcPr>
            <w:tcW w:w="12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F6267B">
            <w:pPr>
              <w:jc w:val="center"/>
              <w:rPr>
                <w:rFonts w:hint="default" w:ascii="Times New Roman" w:hAnsi="Times New Roman" w:cs="Times New Roman"/>
                <w:color w:val="auto"/>
                <w:sz w:val="24"/>
                <w:szCs w:val="24"/>
                <w:highlight w:val="none"/>
              </w:rPr>
            </w:pPr>
          </w:p>
        </w:tc>
      </w:tr>
      <w:tr w14:paraId="74DAE354">
        <w:tblPrEx>
          <w:tblCellMar>
            <w:top w:w="0" w:type="dxa"/>
            <w:left w:w="108" w:type="dxa"/>
            <w:bottom w:w="0" w:type="dxa"/>
            <w:right w:w="108" w:type="dxa"/>
          </w:tblCellMar>
        </w:tblPrEx>
        <w:trPr>
          <w:trHeight w:val="288" w:hRule="atLeast"/>
        </w:trPr>
        <w:tc>
          <w:tcPr>
            <w:tcW w:w="8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4F68E">
            <w:pPr>
              <w:widowControl/>
              <w:jc w:val="center"/>
              <w:textAlignment w:val="center"/>
              <w:rPr>
                <w:rFonts w:hint="default" w:ascii="Times New Roman" w:hAnsi="Times New Roman" w:eastAsia="仿宋_GB2312" w:cs="Times New Roman"/>
                <w:color w:val="auto"/>
                <w:kern w:val="0"/>
                <w:sz w:val="24"/>
                <w:szCs w:val="24"/>
                <w:highlight w:val="none"/>
                <w:lang w:bidi="ar"/>
              </w:rPr>
            </w:pPr>
          </w:p>
        </w:tc>
        <w:tc>
          <w:tcPr>
            <w:tcW w:w="12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E43410">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生产力水平</w:t>
            </w: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F039A">
            <w:pPr>
              <w:widowControl/>
              <w:jc w:val="center"/>
              <w:textAlignment w:val="center"/>
              <w:rPr>
                <w:rFonts w:hint="default" w:ascii="Times New Roman" w:hAnsi="Times New Roman" w:eastAsia="仿宋_GB2312" w:cs="Times New Roman"/>
                <w:color w:val="auto"/>
                <w:kern w:val="0"/>
                <w:sz w:val="24"/>
                <w:szCs w:val="24"/>
                <w:highlight w:val="none"/>
                <w:lang w:bidi="ar"/>
              </w:rPr>
            </w:pPr>
            <w:r>
              <w:rPr>
                <w:rFonts w:hint="default" w:ascii="Times New Roman" w:hAnsi="Times New Roman" w:eastAsia="仿宋_GB2312" w:cs="Times New Roman"/>
                <w:color w:val="auto"/>
                <w:kern w:val="0"/>
                <w:sz w:val="24"/>
                <w:szCs w:val="24"/>
                <w:highlight w:val="none"/>
                <w:lang w:bidi="ar"/>
              </w:rPr>
              <w:t>单位面积产量/(kg/hm2)</w:t>
            </w:r>
          </w:p>
        </w:tc>
        <w:tc>
          <w:tcPr>
            <w:tcW w:w="12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838219">
            <w:pPr>
              <w:jc w:val="center"/>
              <w:rPr>
                <w:rFonts w:hint="default" w:ascii="Times New Roman" w:hAnsi="Times New Roman" w:cs="Times New Roman"/>
                <w:color w:val="auto"/>
                <w:sz w:val="24"/>
                <w:szCs w:val="24"/>
                <w:highlight w:val="none"/>
              </w:rPr>
            </w:pPr>
          </w:p>
        </w:tc>
      </w:tr>
    </w:tbl>
    <w:p w14:paraId="3A824FCB">
      <w:pPr>
        <w:pStyle w:val="10"/>
        <w:keepNext w:val="0"/>
        <w:keepLines w:val="0"/>
        <w:pageBreakBefore w:val="0"/>
        <w:widowControl/>
        <w:kinsoku/>
        <w:wordWrap/>
        <w:overflowPunct/>
        <w:topLinePunct w:val="0"/>
        <w:autoSpaceDE/>
        <w:autoSpaceDN/>
        <w:bidi w:val="0"/>
        <w:adjustRightInd/>
        <w:snapToGrid/>
        <w:ind w:firstLine="643" w:firstLineChars="200"/>
        <w:textAlignment w:val="auto"/>
        <w:rPr>
          <w:rFonts w:hint="default" w:ascii="Times New Roman" w:hAnsi="Times New Roman" w:eastAsia="仿宋_GB2312" w:cs="Times New Roman"/>
          <w:b/>
          <w:bCs/>
          <w:color w:val="auto"/>
          <w:kern w:val="2"/>
          <w:sz w:val="32"/>
          <w:szCs w:val="32"/>
          <w:highlight w:val="none"/>
          <w:lang w:val="en-US" w:eastAsia="zh-CN" w:bidi="ar-SA"/>
        </w:rPr>
      </w:pPr>
      <w:r>
        <w:rPr>
          <w:rFonts w:hint="default" w:ascii="Times New Roman" w:hAnsi="Times New Roman" w:eastAsia="仿宋_GB2312" w:cs="Times New Roman"/>
          <w:b/>
          <w:bCs/>
          <w:color w:val="auto"/>
          <w:kern w:val="2"/>
          <w:sz w:val="32"/>
          <w:szCs w:val="32"/>
          <w:highlight w:val="none"/>
          <w:lang w:val="en-US" w:eastAsia="zh-CN" w:bidi="ar-SA"/>
        </w:rPr>
        <w:t>5.实地核实举证</w:t>
      </w:r>
    </w:p>
    <w:p w14:paraId="1A35A39B">
      <w:pPr>
        <w:pStyle w:val="10"/>
        <w:keepNext w:val="0"/>
        <w:keepLines w:val="0"/>
        <w:pageBreakBefore w:val="0"/>
        <w:widowControl/>
        <w:kinsoku/>
        <w:wordWrap/>
        <w:overflowPunct/>
        <w:topLinePunct w:val="0"/>
        <w:autoSpaceDE/>
        <w:autoSpaceDN/>
        <w:bidi w:val="0"/>
        <w:adjustRightInd/>
        <w:snapToGrid/>
        <w:ind w:firstLine="640" w:firstLineChars="200"/>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color w:val="auto"/>
          <w:kern w:val="2"/>
          <w:sz w:val="32"/>
          <w:szCs w:val="32"/>
          <w:highlight w:val="none"/>
          <w:lang w:val="en-US" w:eastAsia="zh-CN" w:bidi="ar-SA"/>
        </w:rPr>
        <w:t>根据自然资源综合监测监管外业实际情况，</w:t>
      </w:r>
      <w:r>
        <w:rPr>
          <w:rFonts w:hint="eastAsia" w:ascii="Times New Roman" w:hAnsi="Times New Roman" w:eastAsia="仿宋_GB2312" w:cs="Times New Roman"/>
          <w:color w:val="auto"/>
          <w:kern w:val="2"/>
          <w:sz w:val="32"/>
          <w:szCs w:val="32"/>
          <w:highlight w:val="none"/>
          <w:lang w:val="en-US" w:eastAsia="zh-CN" w:bidi="ar-SA"/>
        </w:rPr>
        <w:t>按要求拍摄外业举证照片，填写基础调查信息表</w:t>
      </w:r>
      <w:r>
        <w:rPr>
          <w:rFonts w:hint="eastAsia" w:cs="Times New Roman"/>
          <w:color w:val="auto"/>
          <w:kern w:val="2"/>
          <w:sz w:val="32"/>
          <w:szCs w:val="32"/>
          <w:highlight w:val="none"/>
          <w:lang w:val="en-US" w:eastAsia="zh-CN" w:bidi="ar-SA"/>
        </w:rPr>
        <w:t>。</w:t>
      </w:r>
    </w:p>
    <w:p w14:paraId="44427E70">
      <w:pPr>
        <w:pStyle w:val="10"/>
        <w:keepNext w:val="0"/>
        <w:keepLines w:val="0"/>
        <w:pageBreakBefore w:val="0"/>
        <w:widowControl/>
        <w:kinsoku/>
        <w:wordWrap/>
        <w:overflowPunct/>
        <w:topLinePunct w:val="0"/>
        <w:autoSpaceDE/>
        <w:autoSpaceDN/>
        <w:bidi w:val="0"/>
        <w:adjustRightInd/>
        <w:snapToGrid/>
        <w:ind w:firstLine="643" w:firstLineChars="200"/>
        <w:textAlignment w:val="auto"/>
        <w:rPr>
          <w:rFonts w:hint="default" w:ascii="Times New Roman" w:hAnsi="Times New Roman" w:eastAsia="仿宋_GB2312" w:cs="Times New Roman"/>
          <w:b/>
          <w:bCs/>
          <w:color w:val="auto"/>
          <w:kern w:val="2"/>
          <w:sz w:val="32"/>
          <w:szCs w:val="32"/>
          <w:highlight w:val="none"/>
          <w:lang w:val="en-US" w:eastAsia="zh-CN" w:bidi="ar-SA"/>
        </w:rPr>
      </w:pPr>
      <w:r>
        <w:rPr>
          <w:rFonts w:hint="default" w:ascii="Times New Roman" w:hAnsi="Times New Roman" w:eastAsia="仿宋_GB2312" w:cs="Times New Roman"/>
          <w:b/>
          <w:bCs/>
          <w:color w:val="auto"/>
          <w:kern w:val="2"/>
          <w:sz w:val="32"/>
          <w:szCs w:val="32"/>
          <w:highlight w:val="none"/>
          <w:lang w:val="en-US" w:eastAsia="zh-CN" w:bidi="ar-SA"/>
        </w:rPr>
        <w:t>6.生成举证数据包</w:t>
      </w:r>
    </w:p>
    <w:p w14:paraId="07D70B2C">
      <w:pPr>
        <w:pStyle w:val="10"/>
        <w:keepNext w:val="0"/>
        <w:keepLines w:val="0"/>
        <w:pageBreakBefore w:val="0"/>
        <w:widowControl/>
        <w:kinsoku/>
        <w:wordWrap/>
        <w:overflowPunct/>
        <w:topLinePunct w:val="0"/>
        <w:autoSpaceDE/>
        <w:autoSpaceDN/>
        <w:bidi w:val="0"/>
        <w:adjustRightInd/>
        <w:snapToGrid/>
        <w:ind w:firstLine="640" w:firstLineChars="200"/>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color w:val="auto"/>
          <w:kern w:val="2"/>
          <w:sz w:val="32"/>
          <w:szCs w:val="32"/>
          <w:highlight w:val="none"/>
          <w:lang w:val="en-US" w:eastAsia="zh-CN" w:bidi="ar-SA"/>
        </w:rPr>
        <w:t>外业技术规范规定了生成举证数据包流程，参照T/GXAS 812-2024 田长巡管理系统外业调查数据包生成规范中数据包生成流程，通过外业调查信息采集，经外业举证软件开发工具包及应用接口上传举证数据。获取举证照片路径、举证照片编号、举证照片拍摄范围、拍摄点位置、拍摄时间、拍摄方向与角度等信息，生成对应的数据，迅速生成符合要求的举证数据包文件，同时增加了通过校验码防止图片在传输和导入过程中人为造假的要求。</w:t>
      </w:r>
    </w:p>
    <w:p w14:paraId="688705E2">
      <w:pPr>
        <w:spacing w:before="156" w:beforeLines="50" w:after="156" w:afterLines="50" w:line="560" w:lineRule="exact"/>
        <w:ind w:firstLine="643" w:firstLineChars="200"/>
        <w:outlineLvl w:val="1"/>
        <w:rPr>
          <w:rFonts w:eastAsia="楷体"/>
          <w:b/>
          <w:color w:val="auto"/>
          <w:sz w:val="32"/>
          <w:szCs w:val="28"/>
          <w:highlight w:val="none"/>
        </w:rPr>
      </w:pPr>
      <w:r>
        <w:rPr>
          <w:rFonts w:eastAsia="楷体"/>
          <w:b/>
          <w:color w:val="auto"/>
          <w:sz w:val="32"/>
          <w:szCs w:val="28"/>
          <w:highlight w:val="none"/>
        </w:rPr>
        <w:t>（四）成果检查与质量控制</w:t>
      </w:r>
    </w:p>
    <w:p w14:paraId="7961F379">
      <w:pPr>
        <w:pStyle w:val="10"/>
        <w:keepNext w:val="0"/>
        <w:keepLines w:val="0"/>
        <w:pageBreakBefore w:val="0"/>
        <w:widowControl/>
        <w:kinsoku/>
        <w:wordWrap/>
        <w:overflowPunct/>
        <w:topLinePunct w:val="0"/>
        <w:autoSpaceDE/>
        <w:autoSpaceDN/>
        <w:bidi w:val="0"/>
        <w:adjustRightInd/>
        <w:snapToGrid/>
        <w:ind w:firstLine="640" w:firstLineChars="200"/>
        <w:textAlignment w:val="auto"/>
        <w:rPr>
          <w:rFonts w:hint="default" w:ascii="Times New Roman" w:hAnsi="Times New Roman" w:eastAsia="仿宋_GB2312" w:cs="Times New Roman"/>
          <w:color w:val="auto"/>
          <w:kern w:val="2"/>
          <w:sz w:val="32"/>
          <w:szCs w:val="32"/>
          <w:highlight w:val="none"/>
          <w:lang w:val="en-US" w:eastAsia="zh-CN" w:bidi="ar-SA"/>
        </w:rPr>
      </w:pPr>
      <w:r>
        <w:rPr>
          <w:rFonts w:hint="eastAsia" w:ascii="Times New Roman" w:hAnsi="Times New Roman" w:eastAsia="仿宋_GB2312" w:cs="Times New Roman"/>
          <w:color w:val="auto"/>
          <w:kern w:val="2"/>
          <w:sz w:val="32"/>
          <w:szCs w:val="32"/>
          <w:highlight w:val="none"/>
          <w:lang w:val="en-US" w:eastAsia="zh-CN" w:bidi="ar-SA"/>
        </w:rPr>
        <w:t>举证成果在提交前需进行质量检查，外业调查成果应符合统一规范，</w:t>
      </w:r>
      <w:r>
        <w:rPr>
          <w:rFonts w:hint="default" w:ascii="Times New Roman" w:hAnsi="Times New Roman" w:eastAsia="仿宋_GB2312" w:cs="Times New Roman"/>
          <w:color w:val="auto"/>
          <w:kern w:val="2"/>
          <w:sz w:val="32"/>
          <w:szCs w:val="32"/>
          <w:highlight w:val="none"/>
          <w:lang w:val="en-US" w:eastAsia="zh-CN" w:bidi="ar-SA"/>
        </w:rPr>
        <w:t>举证成果包中应包含成果清单以及举证过程的相关描述性等信息</w:t>
      </w:r>
      <w:r>
        <w:rPr>
          <w:rFonts w:hint="eastAsia" w:ascii="Times New Roman" w:hAnsi="Times New Roman" w:eastAsia="仿宋_GB2312" w:cs="Times New Roman"/>
          <w:color w:val="auto"/>
          <w:kern w:val="2"/>
          <w:sz w:val="32"/>
          <w:szCs w:val="32"/>
          <w:highlight w:val="none"/>
          <w:lang w:val="en-US" w:eastAsia="zh-CN" w:bidi="ar-SA"/>
        </w:rPr>
        <w:t>，检查评定方法应依据GB/T 18316-2008数字测绘成果质量检查与验收要求。</w:t>
      </w:r>
    </w:p>
    <w:p w14:paraId="52F5ACC6">
      <w:pPr>
        <w:spacing w:before="156" w:beforeLines="50" w:after="156" w:afterLines="50" w:line="560" w:lineRule="exact"/>
        <w:ind w:firstLine="643" w:firstLineChars="200"/>
        <w:outlineLvl w:val="1"/>
        <w:rPr>
          <w:rFonts w:eastAsia="楷体"/>
          <w:b/>
          <w:color w:val="auto"/>
          <w:sz w:val="32"/>
          <w:szCs w:val="28"/>
          <w:highlight w:val="none"/>
        </w:rPr>
      </w:pPr>
      <w:r>
        <w:rPr>
          <w:rFonts w:eastAsia="楷体"/>
          <w:b/>
          <w:color w:val="auto"/>
          <w:sz w:val="32"/>
          <w:szCs w:val="28"/>
          <w:highlight w:val="none"/>
        </w:rPr>
        <w:t>（五）外业成果共享复用</w:t>
      </w:r>
    </w:p>
    <w:p w14:paraId="3512D535">
      <w:pPr>
        <w:pStyle w:val="10"/>
        <w:keepNext w:val="0"/>
        <w:keepLines w:val="0"/>
        <w:pageBreakBefore w:val="0"/>
        <w:widowControl/>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Times New Roman"/>
          <w:color w:val="auto"/>
          <w:kern w:val="2"/>
          <w:sz w:val="32"/>
          <w:szCs w:val="32"/>
          <w:highlight w:val="none"/>
          <w:lang w:val="en-US" w:eastAsia="zh-CN" w:bidi="ar-SA"/>
        </w:rPr>
      </w:pPr>
      <w:r>
        <w:rPr>
          <w:rFonts w:hint="eastAsia" w:ascii="Times New Roman" w:hAnsi="Times New Roman" w:eastAsia="仿宋_GB2312" w:cs="Times New Roman"/>
          <w:color w:val="auto"/>
          <w:kern w:val="2"/>
          <w:sz w:val="32"/>
          <w:szCs w:val="32"/>
          <w:highlight w:val="none"/>
          <w:lang w:val="en-US" w:eastAsia="zh-CN" w:bidi="ar-SA"/>
        </w:rPr>
        <w:t>按照自然资源综合监测监管外业工作的共享复用需求，对共享与复用原则、成果共享复用内容以及成果共享复用接口进行了规定。一是共享与复用原则坚持在遵守国家保密法律法规等前提下，实行有条件共享原则。二是成果共享复用内容成果共享内容应包含举证的地块基本信息、调查核实信息、举证附件三部分。三是成果共享复用接口，也是采用了离线数据包和在线访问等方式，成果在线访问应做好接口安全防护、授权校验等安全措施。</w:t>
      </w:r>
    </w:p>
    <w:p w14:paraId="581463C1">
      <w:pPr>
        <w:autoSpaceDE w:val="0"/>
        <w:autoSpaceDN w:val="0"/>
        <w:adjustRightInd w:val="0"/>
        <w:spacing w:before="156" w:beforeLines="50" w:after="156" w:afterLines="50" w:line="560" w:lineRule="exact"/>
        <w:ind w:firstLine="640" w:firstLineChars="200"/>
        <w:jc w:val="left"/>
        <w:outlineLvl w:val="0"/>
        <w:rPr>
          <w:rFonts w:eastAsia="黑体"/>
          <w:color w:val="auto"/>
          <w:sz w:val="32"/>
          <w:szCs w:val="32"/>
          <w:highlight w:val="none"/>
        </w:rPr>
      </w:pPr>
      <w:r>
        <w:rPr>
          <w:rFonts w:eastAsia="黑体"/>
          <w:color w:val="auto"/>
          <w:sz w:val="32"/>
          <w:szCs w:val="32"/>
          <w:highlight w:val="none"/>
        </w:rPr>
        <w:t>六、国内同类标准制修订情况及与法律法规、强制性标准关系</w:t>
      </w:r>
    </w:p>
    <w:p w14:paraId="0C03B878">
      <w:pPr>
        <w:pStyle w:val="10"/>
        <w:keepNext w:val="0"/>
        <w:keepLines w:val="0"/>
        <w:pageBreakBefore w:val="0"/>
        <w:widowControl/>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Times New Roman"/>
          <w:color w:val="auto"/>
          <w:kern w:val="2"/>
          <w:sz w:val="32"/>
          <w:szCs w:val="32"/>
          <w:highlight w:val="none"/>
          <w:lang w:val="en-US" w:eastAsia="zh-CN" w:bidi="ar-SA"/>
        </w:rPr>
      </w:pPr>
      <w:r>
        <w:rPr>
          <w:rFonts w:hint="eastAsia" w:ascii="Times New Roman" w:hAnsi="Times New Roman" w:eastAsia="仿宋_GB2312" w:cs="Times New Roman"/>
          <w:color w:val="auto"/>
          <w:kern w:val="2"/>
          <w:sz w:val="32"/>
          <w:szCs w:val="32"/>
          <w:highlight w:val="none"/>
          <w:lang w:val="en-US" w:eastAsia="zh-CN" w:bidi="ar-SA"/>
        </w:rPr>
        <w:t>经查阅，未发现有与自然资源综合监测监管外业相关的技术标准，相似类型的标准有：《TD/T 1055-2019 第三次全国国土调查技术规程》主要规定了土地利用现状调绘方法及内容，外业部分只涉及到土地利用现状调查底图制作及图斑举证要求等基础性内容；《CH/T 3004-2021 低空数字航空摄影测量外业规范》规定低空数字航空摄影测量外业准备工作、像片控制点的布设、调绘等内容，适用于航空摄影测量；《CH/T 2010-2011 海岛（礁）大地控制测量外业技术规程》对海岛（礁）区域开展卫星定位大地控制测量、水准测量、重力测量等要求进行规定；《DB13/T 5884—2024 1∶5000 1∶10000数字线划图外业调绘技术规程》针对地形图要素进行各项调绘内容、标注形式进行规定，适用于地形图外业调绘工作；《DB11/T 1443-2017地理国情信息外业调查与核查技术规程》规定了北京市地理国情信息外业调查与核查作业的准备工作、实施、数据整理、质量控制、成果汇交等内容，适用于北京市地理国情普查和监测工作中地理国情信息的外业调查与核查、更新、管理、统计分析和分发服务；《DB62/T 2684.2-2016  草原资源调查技术规程 第2部分 外业调查》规定了草原资源外业调查的内容、步骤、方法及要求等，适用于草原资源调查。</w:t>
      </w:r>
    </w:p>
    <w:p w14:paraId="1EFAE3A4">
      <w:pPr>
        <w:pStyle w:val="10"/>
        <w:keepNext w:val="0"/>
        <w:keepLines w:val="0"/>
        <w:pageBreakBefore w:val="0"/>
        <w:widowControl/>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Times New Roman"/>
          <w:color w:val="auto"/>
          <w:kern w:val="2"/>
          <w:sz w:val="32"/>
          <w:szCs w:val="32"/>
          <w:highlight w:val="none"/>
          <w:lang w:val="en-US" w:eastAsia="zh-CN" w:bidi="ar-SA"/>
        </w:rPr>
      </w:pPr>
      <w:r>
        <w:rPr>
          <w:rFonts w:hint="eastAsia" w:ascii="Times New Roman" w:hAnsi="Times New Roman" w:eastAsia="仿宋_GB2312" w:cs="Times New Roman"/>
          <w:color w:val="auto"/>
          <w:kern w:val="2"/>
          <w:sz w:val="32"/>
          <w:szCs w:val="32"/>
          <w:highlight w:val="none"/>
          <w:lang w:val="en-US" w:eastAsia="zh-CN" w:bidi="ar-SA"/>
        </w:rPr>
        <w:t>与本标准对自然资源综合监测监管外业技术进行规范不同，不能指导自然资源综合监测监管外业技术工作。因此，制定团体标准《自然资源综合监测监管外业技术规范》能够填补自然资源综合监测监管外业技术相关标准空白，进一步实现自然资源调查监测外业的“数据共享、一查多用”，提升我区自然资源的调查监测水平具有十分重要的意义。</w:t>
      </w:r>
    </w:p>
    <w:p w14:paraId="5CB8ABEC">
      <w:pPr>
        <w:pStyle w:val="10"/>
        <w:keepNext w:val="0"/>
        <w:keepLines w:val="0"/>
        <w:pageBreakBefore w:val="0"/>
        <w:widowControl/>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Times New Roman"/>
          <w:color w:val="auto"/>
          <w:kern w:val="2"/>
          <w:sz w:val="32"/>
          <w:szCs w:val="32"/>
          <w:highlight w:val="none"/>
          <w:lang w:val="en-US" w:eastAsia="zh-CN" w:bidi="ar-SA"/>
        </w:rPr>
      </w:pPr>
      <w:r>
        <w:rPr>
          <w:rFonts w:hint="eastAsia" w:ascii="Times New Roman" w:hAnsi="Times New Roman" w:eastAsia="仿宋_GB2312" w:cs="Times New Roman"/>
          <w:color w:val="auto"/>
          <w:kern w:val="2"/>
          <w:sz w:val="32"/>
          <w:szCs w:val="32"/>
          <w:highlight w:val="none"/>
          <w:lang w:val="en-US" w:eastAsia="zh-CN" w:bidi="ar-SA"/>
        </w:rPr>
        <w:t>本标准的内容与现行的法律、法规及强制性标准无冲突，标准的编写符合GB/T 1.1—2020的要求。</w:t>
      </w:r>
    </w:p>
    <w:p w14:paraId="23AD57CF">
      <w:pPr>
        <w:autoSpaceDE w:val="0"/>
        <w:autoSpaceDN w:val="0"/>
        <w:adjustRightInd w:val="0"/>
        <w:spacing w:before="156" w:beforeLines="50" w:after="156" w:afterLines="50" w:line="560" w:lineRule="exact"/>
        <w:ind w:firstLine="640" w:firstLineChars="200"/>
        <w:jc w:val="left"/>
        <w:outlineLvl w:val="0"/>
        <w:rPr>
          <w:rFonts w:eastAsia="黑体"/>
          <w:color w:val="auto"/>
          <w:sz w:val="32"/>
          <w:szCs w:val="32"/>
          <w:highlight w:val="none"/>
        </w:rPr>
      </w:pPr>
      <w:bookmarkStart w:id="10" w:name="_Toc526940086"/>
      <w:r>
        <w:rPr>
          <w:rFonts w:eastAsia="黑体"/>
          <w:color w:val="auto"/>
          <w:sz w:val="32"/>
          <w:szCs w:val="32"/>
          <w:highlight w:val="none"/>
        </w:rPr>
        <w:t>七、</w:t>
      </w:r>
      <w:bookmarkEnd w:id="10"/>
      <w:r>
        <w:rPr>
          <w:rFonts w:eastAsia="黑体"/>
          <w:color w:val="auto"/>
          <w:sz w:val="32"/>
          <w:szCs w:val="32"/>
          <w:highlight w:val="none"/>
        </w:rPr>
        <w:t>重大分歧意见的处理经过和依据</w:t>
      </w:r>
    </w:p>
    <w:p w14:paraId="574A5AB3">
      <w:pPr>
        <w:pStyle w:val="10"/>
        <w:keepNext w:val="0"/>
        <w:keepLines w:val="0"/>
        <w:pageBreakBefore w:val="0"/>
        <w:widowControl/>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Times New Roman"/>
          <w:color w:val="auto"/>
          <w:kern w:val="2"/>
          <w:sz w:val="32"/>
          <w:szCs w:val="32"/>
          <w:highlight w:val="none"/>
          <w:lang w:val="en-US" w:eastAsia="zh-CN" w:bidi="ar-SA"/>
        </w:rPr>
      </w:pPr>
      <w:r>
        <w:rPr>
          <w:rFonts w:hint="eastAsia" w:ascii="Times New Roman" w:hAnsi="Times New Roman" w:eastAsia="仿宋_GB2312" w:cs="Times New Roman"/>
          <w:color w:val="auto"/>
          <w:kern w:val="2"/>
          <w:sz w:val="32"/>
          <w:szCs w:val="32"/>
          <w:highlight w:val="none"/>
          <w:lang w:val="en-US" w:eastAsia="zh-CN" w:bidi="ar-SA"/>
        </w:rPr>
        <w:t>本标准研制过程中无重大分歧意见。</w:t>
      </w:r>
    </w:p>
    <w:p w14:paraId="195397BB">
      <w:pPr>
        <w:autoSpaceDE w:val="0"/>
        <w:autoSpaceDN w:val="0"/>
        <w:adjustRightInd w:val="0"/>
        <w:spacing w:before="156" w:beforeLines="50" w:after="156" w:afterLines="50" w:line="560" w:lineRule="exact"/>
        <w:ind w:firstLine="640" w:firstLineChars="200"/>
        <w:jc w:val="left"/>
        <w:outlineLvl w:val="0"/>
        <w:rPr>
          <w:rFonts w:eastAsia="黑体"/>
          <w:color w:val="auto"/>
          <w:sz w:val="32"/>
          <w:szCs w:val="32"/>
          <w:highlight w:val="none"/>
        </w:rPr>
      </w:pPr>
      <w:r>
        <w:rPr>
          <w:rFonts w:eastAsia="黑体"/>
          <w:color w:val="auto"/>
          <w:sz w:val="32"/>
          <w:szCs w:val="32"/>
          <w:highlight w:val="none"/>
        </w:rPr>
        <w:t>八、自我承诺</w:t>
      </w:r>
    </w:p>
    <w:p w14:paraId="4534D776">
      <w:pPr>
        <w:pStyle w:val="10"/>
        <w:keepNext w:val="0"/>
        <w:keepLines w:val="0"/>
        <w:pageBreakBefore w:val="0"/>
        <w:widowControl/>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Times New Roman"/>
          <w:color w:val="auto"/>
          <w:kern w:val="2"/>
          <w:sz w:val="32"/>
          <w:szCs w:val="32"/>
          <w:highlight w:val="none"/>
          <w:lang w:val="en-US" w:eastAsia="zh-CN" w:bidi="ar-SA"/>
        </w:rPr>
      </w:pPr>
      <w:r>
        <w:rPr>
          <w:rFonts w:hint="eastAsia" w:ascii="Times New Roman" w:hAnsi="Times New Roman" w:eastAsia="仿宋_GB2312" w:cs="Times New Roman"/>
          <w:color w:val="auto"/>
          <w:kern w:val="2"/>
          <w:sz w:val="32"/>
          <w:szCs w:val="32"/>
          <w:highlight w:val="none"/>
          <w:lang w:val="en-US" w:eastAsia="zh-CN" w:bidi="ar-SA"/>
        </w:rPr>
        <w:t>本标准内容与各项指标不低于强制性标准要求。</w:t>
      </w:r>
    </w:p>
    <w:p w14:paraId="7EE24764">
      <w:pPr>
        <w:spacing w:line="560" w:lineRule="exact"/>
        <w:rPr>
          <w:rFonts w:eastAsia="仿宋_GB2312"/>
          <w:bCs/>
          <w:color w:val="auto"/>
          <w:sz w:val="36"/>
          <w:szCs w:val="32"/>
          <w:highlight w:val="none"/>
        </w:rPr>
      </w:pPr>
    </w:p>
    <w:p w14:paraId="22D1E16C">
      <w:pPr>
        <w:spacing w:line="560" w:lineRule="exact"/>
        <w:rPr>
          <w:rFonts w:eastAsia="仿宋_GB2312"/>
          <w:bCs/>
          <w:color w:val="auto"/>
          <w:sz w:val="36"/>
          <w:szCs w:val="32"/>
          <w:highlight w:val="none"/>
        </w:rPr>
      </w:pPr>
    </w:p>
    <w:p w14:paraId="7AD46B27">
      <w:pPr>
        <w:wordWrap w:val="0"/>
        <w:spacing w:line="560" w:lineRule="exact"/>
        <w:jc w:val="right"/>
        <w:rPr>
          <w:rFonts w:eastAsia="仿宋_GB2312"/>
          <w:color w:val="auto"/>
          <w:sz w:val="32"/>
          <w:szCs w:val="28"/>
          <w:highlight w:val="none"/>
        </w:rPr>
      </w:pPr>
      <w:r>
        <w:rPr>
          <w:rFonts w:eastAsia="仿宋_GB2312"/>
          <w:color w:val="auto"/>
          <w:sz w:val="32"/>
          <w:szCs w:val="28"/>
          <w:highlight w:val="none"/>
        </w:rPr>
        <w:t xml:space="preserve"> 团体标准《自然资源综合监测监管外业技术规范》</w:t>
      </w:r>
    </w:p>
    <w:p w14:paraId="3E57AC6F">
      <w:pPr>
        <w:wordWrap w:val="0"/>
        <w:spacing w:line="560" w:lineRule="exact"/>
        <w:jc w:val="right"/>
        <w:rPr>
          <w:rFonts w:eastAsia="仿宋_GB2312"/>
          <w:color w:val="auto"/>
          <w:sz w:val="32"/>
          <w:szCs w:val="28"/>
          <w:highlight w:val="none"/>
        </w:rPr>
      </w:pPr>
      <w:r>
        <w:rPr>
          <w:rFonts w:eastAsia="仿宋_GB2312"/>
          <w:color w:val="auto"/>
          <w:sz w:val="32"/>
          <w:szCs w:val="28"/>
          <w:highlight w:val="none"/>
        </w:rPr>
        <w:t xml:space="preserve">标准编制工作组         </w:t>
      </w:r>
    </w:p>
    <w:p w14:paraId="6A991D63">
      <w:pPr>
        <w:wordWrap w:val="0"/>
        <w:spacing w:line="560" w:lineRule="exact"/>
        <w:jc w:val="right"/>
        <w:rPr>
          <w:rFonts w:eastAsia="仿宋_GB2312"/>
          <w:color w:val="auto"/>
          <w:sz w:val="32"/>
          <w:szCs w:val="28"/>
          <w:highlight w:val="none"/>
        </w:rPr>
      </w:pPr>
      <w:r>
        <w:rPr>
          <w:rFonts w:eastAsia="仿宋_GB2312"/>
          <w:color w:val="auto"/>
          <w:sz w:val="32"/>
          <w:szCs w:val="28"/>
          <w:highlight w:val="none"/>
        </w:rPr>
        <w:t>2024年1</w:t>
      </w:r>
      <w:r>
        <w:rPr>
          <w:rFonts w:hint="eastAsia" w:eastAsia="仿宋_GB2312"/>
          <w:color w:val="auto"/>
          <w:sz w:val="32"/>
          <w:szCs w:val="28"/>
          <w:highlight w:val="none"/>
          <w:lang w:val="en-US" w:eastAsia="zh-CN"/>
        </w:rPr>
        <w:t>1</w:t>
      </w:r>
      <w:r>
        <w:rPr>
          <w:rFonts w:eastAsia="仿宋_GB2312"/>
          <w:color w:val="auto"/>
          <w:sz w:val="32"/>
          <w:szCs w:val="28"/>
          <w:highlight w:val="none"/>
        </w:rPr>
        <w:t>月</w:t>
      </w:r>
      <w:r>
        <w:rPr>
          <w:rFonts w:hint="eastAsia" w:eastAsia="仿宋_GB2312"/>
          <w:color w:val="auto"/>
          <w:sz w:val="32"/>
          <w:szCs w:val="28"/>
          <w:highlight w:val="none"/>
          <w:lang w:val="en-US" w:eastAsia="zh-CN"/>
        </w:rPr>
        <w:t>5</w:t>
      </w:r>
      <w:bookmarkStart w:id="11" w:name="_GoBack"/>
      <w:bookmarkEnd w:id="11"/>
      <w:r>
        <w:rPr>
          <w:rFonts w:eastAsia="仿宋_GB2312"/>
          <w:color w:val="auto"/>
          <w:sz w:val="32"/>
          <w:szCs w:val="28"/>
          <w:highlight w:val="none"/>
        </w:rPr>
        <w:t xml:space="preserve">日        </w:t>
      </w:r>
    </w:p>
    <w:sectPr>
      <w:footerReference r:id="rId3" w:type="default"/>
      <w:pgSz w:w="11906" w:h="16838"/>
      <w:pgMar w:top="1474" w:right="1474" w:bottom="1474" w:left="147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方正小标宋简体">
    <w:panose1 w:val="02010601030101010101"/>
    <w:charset w:val="86"/>
    <w:family w:val="auto"/>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16374"/>
    </w:sdtPr>
    <w:sdtContent>
      <w:p w14:paraId="51A82006">
        <w:pPr>
          <w:pStyle w:val="8"/>
          <w:jc w:val="center"/>
        </w:pPr>
        <w:r>
          <w:fldChar w:fldCharType="begin"/>
        </w:r>
        <w:r>
          <w:instrText xml:space="preserve">PAGE   \* MERGEFORMAT</w:instrText>
        </w:r>
        <w:r>
          <w:fldChar w:fldCharType="separate"/>
        </w:r>
        <w:r>
          <w:rPr>
            <w:lang w:val="zh-CN"/>
          </w:rPr>
          <w:t>19</w:t>
        </w:r>
        <w:r>
          <w:fldChar w:fldCharType="end"/>
        </w:r>
      </w:p>
    </w:sdtContent>
  </w:sdt>
  <w:p w14:paraId="46DC9196">
    <w:pPr>
      <w:pStyle w:val="8"/>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9102AD"/>
    <w:multiLevelType w:val="multilevel"/>
    <w:tmpl w:val="079102AD"/>
    <w:lvl w:ilvl="0" w:tentative="0">
      <w:start w:val="1"/>
      <w:numFmt w:val="decimal"/>
      <w:pStyle w:val="28"/>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DDE2B46"/>
    <w:multiLevelType w:val="multilevel"/>
    <w:tmpl w:val="0DDE2B46"/>
    <w:lvl w:ilvl="0" w:tentative="0">
      <w:start w:val="1"/>
      <w:numFmt w:val="lowerLetter"/>
      <w:pStyle w:val="32"/>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2">
    <w:nsid w:val="0F10693C"/>
    <w:multiLevelType w:val="multilevel"/>
    <w:tmpl w:val="0F10693C"/>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pStyle w:val="51"/>
      <w:suff w:val="nothing"/>
      <w:lvlText w:val="%1%2.%3　"/>
      <w:lvlJc w:val="left"/>
      <w:pPr>
        <w:ind w:left="5812"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142"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3">
    <w:nsid w:val="1DBF583A"/>
    <w:multiLevelType w:val="multilevel"/>
    <w:tmpl w:val="1DBF583A"/>
    <w:lvl w:ilvl="0" w:tentative="0">
      <w:start w:val="1"/>
      <w:numFmt w:val="decimal"/>
      <w:pStyle w:val="31"/>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4">
    <w:nsid w:val="1FC91163"/>
    <w:multiLevelType w:val="multilevel"/>
    <w:tmpl w:val="1FC91163"/>
    <w:lvl w:ilvl="0" w:tentative="0">
      <w:start w:val="1"/>
      <w:numFmt w:val="decimal"/>
      <w:pStyle w:val="23"/>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22"/>
      <w:suff w:val="nothing"/>
      <w:lvlText w:val="%1.%2　"/>
      <w:lvlJc w:val="left"/>
      <w:pPr>
        <w:ind w:left="525"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24"/>
      <w:suff w:val="nothing"/>
      <w:lvlText w:val="%1.%2.%3　"/>
      <w:lvlJc w:val="left"/>
      <w:pPr>
        <w:ind w:left="0" w:firstLine="0"/>
      </w:pPr>
      <w:rPr>
        <w:rFonts w:hint="eastAsia" w:ascii="黑体" w:hAnsi="Times New Roman" w:eastAsia="黑体"/>
        <w:b w:val="0"/>
        <w:i w:val="0"/>
        <w:sz w:val="21"/>
      </w:rPr>
    </w:lvl>
    <w:lvl w:ilvl="3" w:tentative="0">
      <w:start w:val="1"/>
      <w:numFmt w:val="decimal"/>
      <w:pStyle w:val="25"/>
      <w:suff w:val="nothing"/>
      <w:lvlText w:val="%1.%2.%3.%4　"/>
      <w:lvlJc w:val="left"/>
      <w:pPr>
        <w:ind w:left="0" w:firstLine="0"/>
      </w:pPr>
      <w:rPr>
        <w:rFonts w:hint="eastAsia" w:ascii="黑体" w:hAnsi="Times New Roman" w:eastAsia="黑体"/>
        <w:b w:val="0"/>
        <w:i w:val="0"/>
        <w:sz w:val="21"/>
      </w:rPr>
    </w:lvl>
    <w:lvl w:ilvl="4" w:tentative="0">
      <w:start w:val="1"/>
      <w:numFmt w:val="decimal"/>
      <w:pStyle w:val="26"/>
      <w:suff w:val="nothing"/>
      <w:lvlText w:val="%1.%2.%3.%4.%5　"/>
      <w:lvlJc w:val="left"/>
      <w:pPr>
        <w:ind w:left="0" w:firstLine="0"/>
      </w:pPr>
      <w:rPr>
        <w:rFonts w:hint="eastAsia" w:ascii="黑体" w:hAnsi="Times New Roman" w:eastAsia="黑体"/>
        <w:b w:val="0"/>
        <w:i w:val="0"/>
        <w:sz w:val="21"/>
      </w:rPr>
    </w:lvl>
    <w:lvl w:ilvl="5" w:tentative="0">
      <w:start w:val="1"/>
      <w:numFmt w:val="decimal"/>
      <w:pStyle w:val="27"/>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5">
    <w:nsid w:val="2A8F7113"/>
    <w:multiLevelType w:val="multilevel"/>
    <w:tmpl w:val="2A8F7113"/>
    <w:lvl w:ilvl="0" w:tentative="0">
      <w:start w:val="1"/>
      <w:numFmt w:val="upperLetter"/>
      <w:pStyle w:val="29"/>
      <w:suff w:val="space"/>
      <w:lvlText w:val="%1"/>
      <w:lvlJc w:val="left"/>
      <w:pPr>
        <w:ind w:left="623" w:hanging="425"/>
      </w:pPr>
      <w:rPr>
        <w:rFonts w:hint="eastAsia"/>
      </w:rPr>
    </w:lvl>
    <w:lvl w:ilvl="1" w:tentative="0">
      <w:start w:val="1"/>
      <w:numFmt w:val="decimal"/>
      <w:pStyle w:val="30"/>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6">
    <w:nsid w:val="2FBBDC78"/>
    <w:multiLevelType w:val="multilevel"/>
    <w:tmpl w:val="2FBBDC78"/>
    <w:lvl w:ilvl="0" w:tentative="0">
      <w:start w:val="1"/>
      <w:numFmt w:val="none"/>
      <w:pStyle w:val="54"/>
      <w:lvlText w:val="%1——"/>
      <w:lvlJc w:val="left"/>
      <w:pPr>
        <w:tabs>
          <w:tab w:val="left" w:pos="851"/>
        </w:tabs>
        <w:ind w:left="851" w:hanging="426"/>
      </w:pPr>
      <w:rPr>
        <w:rFonts w:hint="eastAsia" w:ascii="宋体" w:hAnsi="Times New Roman" w:eastAsia="宋体" w:cs="宋体"/>
        <w:b w:val="0"/>
        <w:i w:val="0"/>
        <w:sz w:val="21"/>
      </w:rPr>
    </w:lvl>
    <w:lvl w:ilvl="1" w:tentative="0">
      <w:start w:val="1"/>
      <w:numFmt w:val="none"/>
      <w:lvlText w:val=""/>
      <w:lvlJc w:val="left"/>
      <w:pPr>
        <w:ind w:left="851" w:hanging="431"/>
      </w:pPr>
      <w:rPr>
        <w:rFonts w:ascii="Symbol" w:hAnsi="Symbol" w:cs="Symbol"/>
        <w:sz w:val="21"/>
      </w:rPr>
    </w:lvl>
    <w:lvl w:ilvl="2" w:tentative="0">
      <w:start w:val="1"/>
      <w:numFmt w:val="bullet"/>
      <w:lvlText w:val=""/>
      <w:lvlJc w:val="left"/>
      <w:pPr>
        <w:ind w:left="851" w:hanging="426"/>
      </w:pPr>
      <w:rPr>
        <w:rFonts w:hint="default" w:ascii="Wingdings" w:hAnsi="Wingdings" w:cs="Wingdings"/>
        <w:sz w:val="21"/>
      </w:rPr>
    </w:lvl>
    <w:lvl w:ilvl="3" w:tentative="0">
      <w:start w:val="1"/>
      <w:numFmt w:val="decimal"/>
      <w:lvlText w:val="%4."/>
      <w:lvlJc w:val="left"/>
      <w:pPr>
        <w:tabs>
          <w:tab w:val="left" w:pos="2071"/>
        </w:tabs>
        <w:ind w:left="1884" w:hanging="528"/>
      </w:pPr>
    </w:lvl>
    <w:lvl w:ilvl="4" w:tentative="0">
      <w:start w:val="1"/>
      <w:numFmt w:val="lowerLetter"/>
      <w:lvlText w:val="%5)"/>
      <w:lvlJc w:val="left"/>
      <w:pPr>
        <w:tabs>
          <w:tab w:val="left" w:pos="2383"/>
        </w:tabs>
        <w:ind w:left="2196" w:hanging="528"/>
      </w:pPr>
    </w:lvl>
    <w:lvl w:ilvl="5" w:tentative="0">
      <w:start w:val="1"/>
      <w:numFmt w:val="lowerRoman"/>
      <w:lvlText w:val="%6."/>
      <w:lvlJc w:val="right"/>
      <w:pPr>
        <w:tabs>
          <w:tab w:val="left" w:pos="2695"/>
        </w:tabs>
        <w:ind w:left="2508" w:hanging="528"/>
      </w:pPr>
    </w:lvl>
    <w:lvl w:ilvl="6" w:tentative="0">
      <w:start w:val="1"/>
      <w:numFmt w:val="decimal"/>
      <w:lvlText w:val="%7."/>
      <w:lvlJc w:val="left"/>
      <w:pPr>
        <w:tabs>
          <w:tab w:val="left" w:pos="3007"/>
        </w:tabs>
        <w:ind w:left="2820" w:hanging="528"/>
      </w:pPr>
    </w:lvl>
    <w:lvl w:ilvl="7" w:tentative="0">
      <w:start w:val="1"/>
      <w:numFmt w:val="lowerLetter"/>
      <w:lvlText w:val="%8)"/>
      <w:lvlJc w:val="left"/>
      <w:pPr>
        <w:tabs>
          <w:tab w:val="left" w:pos="3319"/>
        </w:tabs>
        <w:ind w:left="3132" w:hanging="528"/>
      </w:pPr>
    </w:lvl>
    <w:lvl w:ilvl="8" w:tentative="0">
      <w:start w:val="1"/>
      <w:numFmt w:val="lowerRoman"/>
      <w:lvlText w:val="%9."/>
      <w:lvlJc w:val="right"/>
      <w:pPr>
        <w:tabs>
          <w:tab w:val="left" w:pos="3631"/>
        </w:tabs>
        <w:ind w:left="3444" w:hanging="528"/>
      </w:pPr>
    </w:lvl>
  </w:abstractNum>
  <w:abstractNum w:abstractNumId="7">
    <w:nsid w:val="557C2AF5"/>
    <w:multiLevelType w:val="multilevel"/>
    <w:tmpl w:val="557C2AF5"/>
    <w:lvl w:ilvl="0" w:tentative="0">
      <w:start w:val="1"/>
      <w:numFmt w:val="decimal"/>
      <w:pStyle w:val="21"/>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8">
    <w:nsid w:val="5A3A7FFE"/>
    <w:multiLevelType w:val="multilevel"/>
    <w:tmpl w:val="5A3A7FFE"/>
    <w:lvl w:ilvl="0" w:tentative="0">
      <w:start w:val="1"/>
      <w:numFmt w:val="lowerLetter"/>
      <w:pStyle w:val="55"/>
      <w:lvlText w:val="%1)"/>
      <w:lvlJc w:val="left"/>
      <w:pPr>
        <w:tabs>
          <w:tab w:val="left" w:pos="851"/>
        </w:tabs>
        <w:ind w:left="851" w:hanging="426"/>
      </w:pPr>
      <w:rPr>
        <w:rFonts w:hint="eastAsia" w:ascii="宋体" w:hAnsi="Times New Roman" w:eastAsia="宋体" w:cs="宋体"/>
        <w:sz w:val="21"/>
      </w:rPr>
    </w:lvl>
    <w:lvl w:ilvl="1" w:tentative="0">
      <w:start w:val="1"/>
      <w:numFmt w:val="decimal"/>
      <w:lvlText w:val="%2)"/>
      <w:lvlJc w:val="left"/>
      <w:pPr>
        <w:tabs>
          <w:tab w:val="left" w:pos="1276"/>
        </w:tabs>
        <w:ind w:left="1276" w:hanging="425"/>
      </w:pPr>
      <w:rPr>
        <w:rFonts w:hint="eastAsia" w:ascii="宋体" w:hAnsi="Times New Roman" w:eastAsia="宋体" w:cs="宋体"/>
        <w:sz w:val="21"/>
      </w:rPr>
    </w:lvl>
    <w:lvl w:ilvl="2" w:tentative="0">
      <w:start w:val="1"/>
      <w:numFmt w:val="decimal"/>
      <w:lvlText w:val="(%3)"/>
      <w:lvlJc w:val="left"/>
      <w:pPr>
        <w:ind w:left="1702" w:hanging="425"/>
      </w:pPr>
      <w:rPr>
        <w:rFonts w:hint="eastAsia" w:ascii="宋体" w:hAnsi="Times New Roman" w:eastAsia="宋体" w:cs="宋体"/>
        <w:sz w:val="21"/>
      </w:rPr>
    </w:lvl>
    <w:lvl w:ilvl="3" w:tentative="0">
      <w:start w:val="1"/>
      <w:numFmt w:val="decimal"/>
      <w:lvlText w:val="%4."/>
      <w:lvlJc w:val="left"/>
      <w:pPr>
        <w:tabs>
          <w:tab w:val="left" w:pos="2100"/>
        </w:tabs>
        <w:ind w:left="2099" w:hanging="419"/>
      </w:pPr>
    </w:lvl>
    <w:lvl w:ilvl="4" w:tentative="0">
      <w:start w:val="1"/>
      <w:numFmt w:val="lowerLetter"/>
      <w:lvlText w:val="%5)"/>
      <w:lvlJc w:val="left"/>
      <w:pPr>
        <w:tabs>
          <w:tab w:val="left" w:pos="2520"/>
        </w:tabs>
        <w:ind w:left="2519" w:hanging="419"/>
      </w:pPr>
    </w:lvl>
    <w:lvl w:ilvl="5" w:tentative="0">
      <w:start w:val="1"/>
      <w:numFmt w:val="lowerRoman"/>
      <w:lvlText w:val="%6."/>
      <w:lvlJc w:val="right"/>
      <w:pPr>
        <w:tabs>
          <w:tab w:val="left" w:pos="2940"/>
        </w:tabs>
        <w:ind w:left="2939" w:hanging="419"/>
      </w:pPr>
    </w:lvl>
    <w:lvl w:ilvl="6" w:tentative="0">
      <w:start w:val="1"/>
      <w:numFmt w:val="decimal"/>
      <w:lvlText w:val="%7."/>
      <w:lvlJc w:val="left"/>
      <w:pPr>
        <w:tabs>
          <w:tab w:val="left" w:pos="3360"/>
        </w:tabs>
        <w:ind w:left="3359" w:hanging="419"/>
      </w:pPr>
    </w:lvl>
    <w:lvl w:ilvl="7" w:tentative="0">
      <w:start w:val="1"/>
      <w:numFmt w:val="lowerLetter"/>
      <w:lvlText w:val="%8)"/>
      <w:lvlJc w:val="left"/>
      <w:pPr>
        <w:tabs>
          <w:tab w:val="left" w:pos="3780"/>
        </w:tabs>
        <w:ind w:left="3779" w:hanging="419"/>
      </w:pPr>
    </w:lvl>
    <w:lvl w:ilvl="8" w:tentative="0">
      <w:start w:val="1"/>
      <w:numFmt w:val="lowerRoman"/>
      <w:lvlText w:val="%9."/>
      <w:lvlJc w:val="right"/>
      <w:pPr>
        <w:tabs>
          <w:tab w:val="left" w:pos="4200"/>
        </w:tabs>
        <w:ind w:left="4199" w:hanging="419"/>
      </w:pPr>
    </w:lvl>
  </w:abstractNum>
  <w:abstractNum w:abstractNumId="9">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36"/>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10">
    <w:nsid w:val="646260FA"/>
    <w:multiLevelType w:val="multilevel"/>
    <w:tmpl w:val="646260FA"/>
    <w:lvl w:ilvl="0" w:tentative="0">
      <w:start w:val="1"/>
      <w:numFmt w:val="decimal"/>
      <w:pStyle w:val="20"/>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1">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52"/>
      <w:suff w:val="nothing"/>
      <w:lvlText w:val="%1%2　"/>
      <w:lvlJc w:val="left"/>
      <w:pPr>
        <w:ind w:left="0" w:firstLine="0"/>
      </w:pPr>
      <w:rPr>
        <w:rFonts w:hint="eastAsia" w:ascii="黑体" w:eastAsia="黑体"/>
        <w:b w:val="0"/>
        <w:i w:val="0"/>
        <w:sz w:val="21"/>
      </w:rPr>
    </w:lvl>
    <w:lvl w:ilvl="2" w:tentative="0">
      <w:start w:val="1"/>
      <w:numFmt w:val="decimal"/>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10"/>
  </w:num>
  <w:num w:numId="2">
    <w:abstractNumId w:val="7"/>
  </w:num>
  <w:num w:numId="3">
    <w:abstractNumId w:val="4"/>
  </w:num>
  <w:num w:numId="4">
    <w:abstractNumId w:val="0"/>
  </w:num>
  <w:num w:numId="5">
    <w:abstractNumId w:val="5"/>
  </w:num>
  <w:num w:numId="6">
    <w:abstractNumId w:val="3"/>
  </w:num>
  <w:num w:numId="7">
    <w:abstractNumId w:val="1"/>
  </w:num>
  <w:num w:numId="8">
    <w:abstractNumId w:val="9"/>
  </w:num>
  <w:num w:numId="9">
    <w:abstractNumId w:val="2"/>
  </w:num>
  <w:num w:numId="10">
    <w:abstractNumId w:val="11"/>
  </w:num>
  <w:num w:numId="11">
    <w:abstractNumId w:val="6"/>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zg5MWNkYzE1N2I4MGQ0MDI5ZWRkMjE1MDVlZjk2ZmQifQ=="/>
  </w:docVars>
  <w:rsids>
    <w:rsidRoot w:val="0042062E"/>
    <w:rsid w:val="0000457E"/>
    <w:rsid w:val="00005CA4"/>
    <w:rsid w:val="000107BC"/>
    <w:rsid w:val="00013090"/>
    <w:rsid w:val="00014060"/>
    <w:rsid w:val="00016837"/>
    <w:rsid w:val="00021331"/>
    <w:rsid w:val="00023119"/>
    <w:rsid w:val="00023FE2"/>
    <w:rsid w:val="00024212"/>
    <w:rsid w:val="00024664"/>
    <w:rsid w:val="00032CD6"/>
    <w:rsid w:val="00033257"/>
    <w:rsid w:val="00034233"/>
    <w:rsid w:val="00034BDB"/>
    <w:rsid w:val="00041BD2"/>
    <w:rsid w:val="00047D7B"/>
    <w:rsid w:val="00053B0B"/>
    <w:rsid w:val="000576D0"/>
    <w:rsid w:val="00057758"/>
    <w:rsid w:val="00060FE2"/>
    <w:rsid w:val="0007330D"/>
    <w:rsid w:val="00073F72"/>
    <w:rsid w:val="00074EB1"/>
    <w:rsid w:val="00076BBA"/>
    <w:rsid w:val="00080F2F"/>
    <w:rsid w:val="0008145A"/>
    <w:rsid w:val="0009177A"/>
    <w:rsid w:val="00093E74"/>
    <w:rsid w:val="000962F6"/>
    <w:rsid w:val="000A0201"/>
    <w:rsid w:val="000A1EAE"/>
    <w:rsid w:val="000A3070"/>
    <w:rsid w:val="000A4601"/>
    <w:rsid w:val="000A77CD"/>
    <w:rsid w:val="000B572A"/>
    <w:rsid w:val="000C64E3"/>
    <w:rsid w:val="000D0ACE"/>
    <w:rsid w:val="000D15BE"/>
    <w:rsid w:val="000D5AC8"/>
    <w:rsid w:val="000D6612"/>
    <w:rsid w:val="000D751C"/>
    <w:rsid w:val="000D7F33"/>
    <w:rsid w:val="000F10EB"/>
    <w:rsid w:val="000F3365"/>
    <w:rsid w:val="000F517A"/>
    <w:rsid w:val="001012D5"/>
    <w:rsid w:val="00101D2E"/>
    <w:rsid w:val="00103B83"/>
    <w:rsid w:val="00105252"/>
    <w:rsid w:val="001062E3"/>
    <w:rsid w:val="00106661"/>
    <w:rsid w:val="0010769F"/>
    <w:rsid w:val="00110864"/>
    <w:rsid w:val="00110F43"/>
    <w:rsid w:val="00112415"/>
    <w:rsid w:val="00113B53"/>
    <w:rsid w:val="00114946"/>
    <w:rsid w:val="00122573"/>
    <w:rsid w:val="00126CA6"/>
    <w:rsid w:val="001273E7"/>
    <w:rsid w:val="00127EB0"/>
    <w:rsid w:val="00131B03"/>
    <w:rsid w:val="00132C5F"/>
    <w:rsid w:val="00133786"/>
    <w:rsid w:val="00134DD4"/>
    <w:rsid w:val="001435D3"/>
    <w:rsid w:val="001449B5"/>
    <w:rsid w:val="001463AC"/>
    <w:rsid w:val="0015152A"/>
    <w:rsid w:val="00156020"/>
    <w:rsid w:val="00156663"/>
    <w:rsid w:val="001611BB"/>
    <w:rsid w:val="00167167"/>
    <w:rsid w:val="001708F8"/>
    <w:rsid w:val="0018112C"/>
    <w:rsid w:val="00183467"/>
    <w:rsid w:val="00190A64"/>
    <w:rsid w:val="00190C6A"/>
    <w:rsid w:val="00191774"/>
    <w:rsid w:val="00191DCE"/>
    <w:rsid w:val="001923CF"/>
    <w:rsid w:val="001925FD"/>
    <w:rsid w:val="001930A1"/>
    <w:rsid w:val="00194FE3"/>
    <w:rsid w:val="00196054"/>
    <w:rsid w:val="0019711F"/>
    <w:rsid w:val="001A0DBF"/>
    <w:rsid w:val="001A3402"/>
    <w:rsid w:val="001B0E92"/>
    <w:rsid w:val="001B36E5"/>
    <w:rsid w:val="001B3B17"/>
    <w:rsid w:val="001C5F01"/>
    <w:rsid w:val="001C793C"/>
    <w:rsid w:val="001D22F0"/>
    <w:rsid w:val="001D647B"/>
    <w:rsid w:val="001D64DB"/>
    <w:rsid w:val="001D7816"/>
    <w:rsid w:val="001E5000"/>
    <w:rsid w:val="001F07A8"/>
    <w:rsid w:val="001F16E6"/>
    <w:rsid w:val="001F241E"/>
    <w:rsid w:val="001F537A"/>
    <w:rsid w:val="001F660A"/>
    <w:rsid w:val="001F79F5"/>
    <w:rsid w:val="001F7E35"/>
    <w:rsid w:val="00205603"/>
    <w:rsid w:val="00210916"/>
    <w:rsid w:val="002116FB"/>
    <w:rsid w:val="00214221"/>
    <w:rsid w:val="00217683"/>
    <w:rsid w:val="00221F6E"/>
    <w:rsid w:val="002223DD"/>
    <w:rsid w:val="002231E8"/>
    <w:rsid w:val="00223EB7"/>
    <w:rsid w:val="00224EB8"/>
    <w:rsid w:val="00231E62"/>
    <w:rsid w:val="00232769"/>
    <w:rsid w:val="00244ADA"/>
    <w:rsid w:val="00244C0C"/>
    <w:rsid w:val="002465C7"/>
    <w:rsid w:val="002526F3"/>
    <w:rsid w:val="00254F7A"/>
    <w:rsid w:val="00256FE0"/>
    <w:rsid w:val="002614C6"/>
    <w:rsid w:val="002621E1"/>
    <w:rsid w:val="00262753"/>
    <w:rsid w:val="00262771"/>
    <w:rsid w:val="00262F6C"/>
    <w:rsid w:val="00264A7D"/>
    <w:rsid w:val="00264CE4"/>
    <w:rsid w:val="00266090"/>
    <w:rsid w:val="0027235B"/>
    <w:rsid w:val="00273C13"/>
    <w:rsid w:val="00281DC2"/>
    <w:rsid w:val="00283085"/>
    <w:rsid w:val="00283E25"/>
    <w:rsid w:val="0029084D"/>
    <w:rsid w:val="00291D7F"/>
    <w:rsid w:val="00291EF3"/>
    <w:rsid w:val="002952AC"/>
    <w:rsid w:val="002A2FCF"/>
    <w:rsid w:val="002A4D06"/>
    <w:rsid w:val="002A5D80"/>
    <w:rsid w:val="002B07E3"/>
    <w:rsid w:val="002B23AB"/>
    <w:rsid w:val="002B2E35"/>
    <w:rsid w:val="002B3D69"/>
    <w:rsid w:val="002B5497"/>
    <w:rsid w:val="002B5BD7"/>
    <w:rsid w:val="002C1D2A"/>
    <w:rsid w:val="002C4FFB"/>
    <w:rsid w:val="002C5534"/>
    <w:rsid w:val="002C611B"/>
    <w:rsid w:val="002C73B6"/>
    <w:rsid w:val="002D49CC"/>
    <w:rsid w:val="002D6D1E"/>
    <w:rsid w:val="002D73AD"/>
    <w:rsid w:val="002D74DB"/>
    <w:rsid w:val="002E073F"/>
    <w:rsid w:val="002E7467"/>
    <w:rsid w:val="002E7A35"/>
    <w:rsid w:val="002F34AA"/>
    <w:rsid w:val="002F4B59"/>
    <w:rsid w:val="002F4D7B"/>
    <w:rsid w:val="002F513F"/>
    <w:rsid w:val="002F613B"/>
    <w:rsid w:val="003025DF"/>
    <w:rsid w:val="00303E23"/>
    <w:rsid w:val="00304BFD"/>
    <w:rsid w:val="00306925"/>
    <w:rsid w:val="0031011D"/>
    <w:rsid w:val="003144B8"/>
    <w:rsid w:val="00314640"/>
    <w:rsid w:val="00327623"/>
    <w:rsid w:val="0033375C"/>
    <w:rsid w:val="0034090F"/>
    <w:rsid w:val="00343C24"/>
    <w:rsid w:val="00345BCC"/>
    <w:rsid w:val="00353735"/>
    <w:rsid w:val="00354D06"/>
    <w:rsid w:val="00356D19"/>
    <w:rsid w:val="00357A1D"/>
    <w:rsid w:val="00357E18"/>
    <w:rsid w:val="0036001E"/>
    <w:rsid w:val="00360952"/>
    <w:rsid w:val="00362E4D"/>
    <w:rsid w:val="00362F10"/>
    <w:rsid w:val="00365252"/>
    <w:rsid w:val="00372A01"/>
    <w:rsid w:val="00372C98"/>
    <w:rsid w:val="00373BAD"/>
    <w:rsid w:val="00374390"/>
    <w:rsid w:val="003754CF"/>
    <w:rsid w:val="00381796"/>
    <w:rsid w:val="00382AB2"/>
    <w:rsid w:val="00386647"/>
    <w:rsid w:val="00391984"/>
    <w:rsid w:val="00392E22"/>
    <w:rsid w:val="00396025"/>
    <w:rsid w:val="003B2F32"/>
    <w:rsid w:val="003B5050"/>
    <w:rsid w:val="003C2D44"/>
    <w:rsid w:val="003C483D"/>
    <w:rsid w:val="003D3AF0"/>
    <w:rsid w:val="003D48B6"/>
    <w:rsid w:val="003D51D0"/>
    <w:rsid w:val="003D5CB5"/>
    <w:rsid w:val="003D6E58"/>
    <w:rsid w:val="003E330B"/>
    <w:rsid w:val="003E4A86"/>
    <w:rsid w:val="003F284D"/>
    <w:rsid w:val="003F28D0"/>
    <w:rsid w:val="003F3119"/>
    <w:rsid w:val="003F392A"/>
    <w:rsid w:val="003F3AAC"/>
    <w:rsid w:val="003F727B"/>
    <w:rsid w:val="0040035D"/>
    <w:rsid w:val="00403F64"/>
    <w:rsid w:val="00404BD1"/>
    <w:rsid w:val="004050BE"/>
    <w:rsid w:val="0040610D"/>
    <w:rsid w:val="00406A80"/>
    <w:rsid w:val="0042062E"/>
    <w:rsid w:val="00424AF1"/>
    <w:rsid w:val="00424FCB"/>
    <w:rsid w:val="00425860"/>
    <w:rsid w:val="00427B81"/>
    <w:rsid w:val="00434E46"/>
    <w:rsid w:val="00434F90"/>
    <w:rsid w:val="004378E4"/>
    <w:rsid w:val="0044118D"/>
    <w:rsid w:val="00442012"/>
    <w:rsid w:val="004441BD"/>
    <w:rsid w:val="004469DF"/>
    <w:rsid w:val="004503F4"/>
    <w:rsid w:val="0045483D"/>
    <w:rsid w:val="00455661"/>
    <w:rsid w:val="0046025A"/>
    <w:rsid w:val="00460359"/>
    <w:rsid w:val="004605D8"/>
    <w:rsid w:val="004626AF"/>
    <w:rsid w:val="00465230"/>
    <w:rsid w:val="00467DEF"/>
    <w:rsid w:val="004715D8"/>
    <w:rsid w:val="004805D0"/>
    <w:rsid w:val="00480BA1"/>
    <w:rsid w:val="004814A9"/>
    <w:rsid w:val="0048357F"/>
    <w:rsid w:val="00484EF3"/>
    <w:rsid w:val="00485212"/>
    <w:rsid w:val="004865C9"/>
    <w:rsid w:val="004867FF"/>
    <w:rsid w:val="0049011A"/>
    <w:rsid w:val="00491FE3"/>
    <w:rsid w:val="0049241F"/>
    <w:rsid w:val="0049390C"/>
    <w:rsid w:val="004A25C4"/>
    <w:rsid w:val="004A2878"/>
    <w:rsid w:val="004A614E"/>
    <w:rsid w:val="004A6215"/>
    <w:rsid w:val="004A660C"/>
    <w:rsid w:val="004A76AB"/>
    <w:rsid w:val="004B2E7F"/>
    <w:rsid w:val="004C4136"/>
    <w:rsid w:val="004D155D"/>
    <w:rsid w:val="004D2302"/>
    <w:rsid w:val="004D597A"/>
    <w:rsid w:val="004D5B22"/>
    <w:rsid w:val="004E3026"/>
    <w:rsid w:val="004F0593"/>
    <w:rsid w:val="004F1ED4"/>
    <w:rsid w:val="004F48C2"/>
    <w:rsid w:val="004F74F0"/>
    <w:rsid w:val="004F7FA9"/>
    <w:rsid w:val="005009D1"/>
    <w:rsid w:val="0050156A"/>
    <w:rsid w:val="00505469"/>
    <w:rsid w:val="005066ED"/>
    <w:rsid w:val="005067C2"/>
    <w:rsid w:val="0051028F"/>
    <w:rsid w:val="0051148B"/>
    <w:rsid w:val="00513080"/>
    <w:rsid w:val="00514C97"/>
    <w:rsid w:val="005159F5"/>
    <w:rsid w:val="00526200"/>
    <w:rsid w:val="005269CF"/>
    <w:rsid w:val="00533886"/>
    <w:rsid w:val="0053418A"/>
    <w:rsid w:val="00535AC6"/>
    <w:rsid w:val="00537550"/>
    <w:rsid w:val="0054317B"/>
    <w:rsid w:val="005448BE"/>
    <w:rsid w:val="00546DEA"/>
    <w:rsid w:val="0055115A"/>
    <w:rsid w:val="00554FE2"/>
    <w:rsid w:val="005639F8"/>
    <w:rsid w:val="005656AA"/>
    <w:rsid w:val="005742DB"/>
    <w:rsid w:val="00577C08"/>
    <w:rsid w:val="005802BD"/>
    <w:rsid w:val="0058151C"/>
    <w:rsid w:val="00581CE7"/>
    <w:rsid w:val="00582F5C"/>
    <w:rsid w:val="0058472C"/>
    <w:rsid w:val="005870E5"/>
    <w:rsid w:val="005873D6"/>
    <w:rsid w:val="005876DE"/>
    <w:rsid w:val="00590BAF"/>
    <w:rsid w:val="00596702"/>
    <w:rsid w:val="005A1A17"/>
    <w:rsid w:val="005A4523"/>
    <w:rsid w:val="005A4707"/>
    <w:rsid w:val="005A604B"/>
    <w:rsid w:val="005B0CDC"/>
    <w:rsid w:val="005B23F7"/>
    <w:rsid w:val="005B7128"/>
    <w:rsid w:val="005B76D5"/>
    <w:rsid w:val="005B7B7E"/>
    <w:rsid w:val="005C468E"/>
    <w:rsid w:val="005D06D6"/>
    <w:rsid w:val="005D1EE1"/>
    <w:rsid w:val="005D2762"/>
    <w:rsid w:val="005D2AEE"/>
    <w:rsid w:val="005D3EFE"/>
    <w:rsid w:val="005D3F96"/>
    <w:rsid w:val="005D5DDF"/>
    <w:rsid w:val="005D6A5C"/>
    <w:rsid w:val="005E05D4"/>
    <w:rsid w:val="005E207A"/>
    <w:rsid w:val="005E2143"/>
    <w:rsid w:val="005F0995"/>
    <w:rsid w:val="005F0A98"/>
    <w:rsid w:val="005F1E35"/>
    <w:rsid w:val="005F36D9"/>
    <w:rsid w:val="005F4F92"/>
    <w:rsid w:val="005F53B2"/>
    <w:rsid w:val="005F6C71"/>
    <w:rsid w:val="005F71EC"/>
    <w:rsid w:val="006062AE"/>
    <w:rsid w:val="0060656D"/>
    <w:rsid w:val="00606B5A"/>
    <w:rsid w:val="00610884"/>
    <w:rsid w:val="00614347"/>
    <w:rsid w:val="006147DA"/>
    <w:rsid w:val="0062702A"/>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90D6C"/>
    <w:rsid w:val="00691287"/>
    <w:rsid w:val="006945D3"/>
    <w:rsid w:val="006A1BD7"/>
    <w:rsid w:val="006A3112"/>
    <w:rsid w:val="006B1080"/>
    <w:rsid w:val="006B6EA3"/>
    <w:rsid w:val="006C0CC1"/>
    <w:rsid w:val="006C6B87"/>
    <w:rsid w:val="006C70ED"/>
    <w:rsid w:val="006D4B56"/>
    <w:rsid w:val="006D4CCC"/>
    <w:rsid w:val="006D5D5F"/>
    <w:rsid w:val="006E155C"/>
    <w:rsid w:val="006E280E"/>
    <w:rsid w:val="006E65EC"/>
    <w:rsid w:val="006E7520"/>
    <w:rsid w:val="006F03ED"/>
    <w:rsid w:val="006F67E6"/>
    <w:rsid w:val="006F77F7"/>
    <w:rsid w:val="00700D32"/>
    <w:rsid w:val="0070138D"/>
    <w:rsid w:val="00701A2B"/>
    <w:rsid w:val="0070266E"/>
    <w:rsid w:val="00705429"/>
    <w:rsid w:val="0070730B"/>
    <w:rsid w:val="00712BC5"/>
    <w:rsid w:val="00715CA4"/>
    <w:rsid w:val="00716EAC"/>
    <w:rsid w:val="00720395"/>
    <w:rsid w:val="00722AAE"/>
    <w:rsid w:val="0072448B"/>
    <w:rsid w:val="007245EF"/>
    <w:rsid w:val="00726016"/>
    <w:rsid w:val="00726F82"/>
    <w:rsid w:val="007432F4"/>
    <w:rsid w:val="0075401E"/>
    <w:rsid w:val="00755471"/>
    <w:rsid w:val="007556A8"/>
    <w:rsid w:val="00756686"/>
    <w:rsid w:val="00760DDA"/>
    <w:rsid w:val="00760FBD"/>
    <w:rsid w:val="00771C70"/>
    <w:rsid w:val="007768A2"/>
    <w:rsid w:val="00776FE6"/>
    <w:rsid w:val="007812EA"/>
    <w:rsid w:val="00781F1A"/>
    <w:rsid w:val="00782C84"/>
    <w:rsid w:val="00784D8F"/>
    <w:rsid w:val="007912E9"/>
    <w:rsid w:val="007923BD"/>
    <w:rsid w:val="00793820"/>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C1F"/>
    <w:rsid w:val="007D1773"/>
    <w:rsid w:val="007D3096"/>
    <w:rsid w:val="007D4356"/>
    <w:rsid w:val="007D520B"/>
    <w:rsid w:val="007D5225"/>
    <w:rsid w:val="007D6192"/>
    <w:rsid w:val="007D646F"/>
    <w:rsid w:val="007E0035"/>
    <w:rsid w:val="007F05BA"/>
    <w:rsid w:val="007F1688"/>
    <w:rsid w:val="007F17C2"/>
    <w:rsid w:val="007F3051"/>
    <w:rsid w:val="007F445F"/>
    <w:rsid w:val="007F5C07"/>
    <w:rsid w:val="007F69C4"/>
    <w:rsid w:val="00800158"/>
    <w:rsid w:val="00800C49"/>
    <w:rsid w:val="00805B1A"/>
    <w:rsid w:val="00810067"/>
    <w:rsid w:val="00812666"/>
    <w:rsid w:val="00816354"/>
    <w:rsid w:val="00825BEF"/>
    <w:rsid w:val="00827143"/>
    <w:rsid w:val="008275DE"/>
    <w:rsid w:val="0083025F"/>
    <w:rsid w:val="00831A4E"/>
    <w:rsid w:val="00834158"/>
    <w:rsid w:val="00834F29"/>
    <w:rsid w:val="00837133"/>
    <w:rsid w:val="00840584"/>
    <w:rsid w:val="00843099"/>
    <w:rsid w:val="00844A63"/>
    <w:rsid w:val="00845B6B"/>
    <w:rsid w:val="0085555C"/>
    <w:rsid w:val="0085722C"/>
    <w:rsid w:val="00860076"/>
    <w:rsid w:val="00864B42"/>
    <w:rsid w:val="00864EDC"/>
    <w:rsid w:val="008717FD"/>
    <w:rsid w:val="00872085"/>
    <w:rsid w:val="0087311E"/>
    <w:rsid w:val="008766A7"/>
    <w:rsid w:val="0088023F"/>
    <w:rsid w:val="00884AB2"/>
    <w:rsid w:val="008853E8"/>
    <w:rsid w:val="00890B67"/>
    <w:rsid w:val="00893361"/>
    <w:rsid w:val="00893A8E"/>
    <w:rsid w:val="00893B3E"/>
    <w:rsid w:val="00893CE3"/>
    <w:rsid w:val="008941F8"/>
    <w:rsid w:val="0089639E"/>
    <w:rsid w:val="0089684C"/>
    <w:rsid w:val="008A42EB"/>
    <w:rsid w:val="008A4E58"/>
    <w:rsid w:val="008A5709"/>
    <w:rsid w:val="008B1A6F"/>
    <w:rsid w:val="008B35DA"/>
    <w:rsid w:val="008B6562"/>
    <w:rsid w:val="008B7C56"/>
    <w:rsid w:val="008C1BE0"/>
    <w:rsid w:val="008C2A94"/>
    <w:rsid w:val="008C4DED"/>
    <w:rsid w:val="008C5328"/>
    <w:rsid w:val="008C6844"/>
    <w:rsid w:val="008D1502"/>
    <w:rsid w:val="008D2E6B"/>
    <w:rsid w:val="008D3059"/>
    <w:rsid w:val="008D44E2"/>
    <w:rsid w:val="008D5C1F"/>
    <w:rsid w:val="008D612C"/>
    <w:rsid w:val="008E0C90"/>
    <w:rsid w:val="008E340A"/>
    <w:rsid w:val="008F024A"/>
    <w:rsid w:val="008F4CD3"/>
    <w:rsid w:val="008F62FB"/>
    <w:rsid w:val="00900B1D"/>
    <w:rsid w:val="00901C67"/>
    <w:rsid w:val="009058DF"/>
    <w:rsid w:val="00910D7C"/>
    <w:rsid w:val="00910E34"/>
    <w:rsid w:val="00911CE5"/>
    <w:rsid w:val="009133CD"/>
    <w:rsid w:val="0091490C"/>
    <w:rsid w:val="009204DB"/>
    <w:rsid w:val="009206E4"/>
    <w:rsid w:val="0092128F"/>
    <w:rsid w:val="00922063"/>
    <w:rsid w:val="009220D3"/>
    <w:rsid w:val="009226F2"/>
    <w:rsid w:val="00926314"/>
    <w:rsid w:val="00930317"/>
    <w:rsid w:val="00933333"/>
    <w:rsid w:val="0093364F"/>
    <w:rsid w:val="00934E57"/>
    <w:rsid w:val="00936A0A"/>
    <w:rsid w:val="0094724D"/>
    <w:rsid w:val="009510ED"/>
    <w:rsid w:val="00954E13"/>
    <w:rsid w:val="00955098"/>
    <w:rsid w:val="00962A6D"/>
    <w:rsid w:val="009642C6"/>
    <w:rsid w:val="0096452B"/>
    <w:rsid w:val="00975377"/>
    <w:rsid w:val="0097752F"/>
    <w:rsid w:val="00980E2D"/>
    <w:rsid w:val="00981308"/>
    <w:rsid w:val="00983CDC"/>
    <w:rsid w:val="00983E62"/>
    <w:rsid w:val="00984743"/>
    <w:rsid w:val="00985D99"/>
    <w:rsid w:val="00987A4E"/>
    <w:rsid w:val="00987C57"/>
    <w:rsid w:val="0099188F"/>
    <w:rsid w:val="00992D0D"/>
    <w:rsid w:val="00993328"/>
    <w:rsid w:val="00995822"/>
    <w:rsid w:val="00997A44"/>
    <w:rsid w:val="009A1FC7"/>
    <w:rsid w:val="009A7254"/>
    <w:rsid w:val="009B2BF4"/>
    <w:rsid w:val="009B52A3"/>
    <w:rsid w:val="009B53BA"/>
    <w:rsid w:val="009B609B"/>
    <w:rsid w:val="009B6F4E"/>
    <w:rsid w:val="009B6FA5"/>
    <w:rsid w:val="009B74CD"/>
    <w:rsid w:val="009D1F6F"/>
    <w:rsid w:val="009D38DB"/>
    <w:rsid w:val="009D3D0A"/>
    <w:rsid w:val="009D62DE"/>
    <w:rsid w:val="009E1F06"/>
    <w:rsid w:val="009E5DEF"/>
    <w:rsid w:val="009E6B6B"/>
    <w:rsid w:val="009F3B36"/>
    <w:rsid w:val="009F79E3"/>
    <w:rsid w:val="00A01A52"/>
    <w:rsid w:val="00A02A0A"/>
    <w:rsid w:val="00A04717"/>
    <w:rsid w:val="00A04E49"/>
    <w:rsid w:val="00A10236"/>
    <w:rsid w:val="00A10B7E"/>
    <w:rsid w:val="00A11E9D"/>
    <w:rsid w:val="00A1598C"/>
    <w:rsid w:val="00A15EDE"/>
    <w:rsid w:val="00A163CB"/>
    <w:rsid w:val="00A24789"/>
    <w:rsid w:val="00A25268"/>
    <w:rsid w:val="00A25E7C"/>
    <w:rsid w:val="00A34924"/>
    <w:rsid w:val="00A35F3F"/>
    <w:rsid w:val="00A40234"/>
    <w:rsid w:val="00A412B5"/>
    <w:rsid w:val="00A4496C"/>
    <w:rsid w:val="00A51BDA"/>
    <w:rsid w:val="00A52FED"/>
    <w:rsid w:val="00A547EA"/>
    <w:rsid w:val="00A54EE3"/>
    <w:rsid w:val="00A60040"/>
    <w:rsid w:val="00A61125"/>
    <w:rsid w:val="00A620AA"/>
    <w:rsid w:val="00A64033"/>
    <w:rsid w:val="00A65635"/>
    <w:rsid w:val="00A66230"/>
    <w:rsid w:val="00A66B33"/>
    <w:rsid w:val="00A706DE"/>
    <w:rsid w:val="00A70BEA"/>
    <w:rsid w:val="00A7226B"/>
    <w:rsid w:val="00A77E2C"/>
    <w:rsid w:val="00A806B3"/>
    <w:rsid w:val="00A80E57"/>
    <w:rsid w:val="00A82337"/>
    <w:rsid w:val="00A90118"/>
    <w:rsid w:val="00A90821"/>
    <w:rsid w:val="00A928C5"/>
    <w:rsid w:val="00A94CCD"/>
    <w:rsid w:val="00A955A3"/>
    <w:rsid w:val="00A958C2"/>
    <w:rsid w:val="00A95C9E"/>
    <w:rsid w:val="00A96933"/>
    <w:rsid w:val="00A97D34"/>
    <w:rsid w:val="00AA175E"/>
    <w:rsid w:val="00AA1B3F"/>
    <w:rsid w:val="00AA565B"/>
    <w:rsid w:val="00AA6572"/>
    <w:rsid w:val="00AA6DE0"/>
    <w:rsid w:val="00AA75A4"/>
    <w:rsid w:val="00AB0EDD"/>
    <w:rsid w:val="00AB238D"/>
    <w:rsid w:val="00AB35C0"/>
    <w:rsid w:val="00AC5DC1"/>
    <w:rsid w:val="00AC6BEA"/>
    <w:rsid w:val="00AD1275"/>
    <w:rsid w:val="00AD56BA"/>
    <w:rsid w:val="00AE5941"/>
    <w:rsid w:val="00AE7E72"/>
    <w:rsid w:val="00AF00B0"/>
    <w:rsid w:val="00AF0B6E"/>
    <w:rsid w:val="00AF0C1B"/>
    <w:rsid w:val="00AF1152"/>
    <w:rsid w:val="00AF20DE"/>
    <w:rsid w:val="00AF2C7E"/>
    <w:rsid w:val="00AF337C"/>
    <w:rsid w:val="00AF365B"/>
    <w:rsid w:val="00AF38A5"/>
    <w:rsid w:val="00AF3BC9"/>
    <w:rsid w:val="00B0152E"/>
    <w:rsid w:val="00B06F77"/>
    <w:rsid w:val="00B17EA4"/>
    <w:rsid w:val="00B2401D"/>
    <w:rsid w:val="00B271E2"/>
    <w:rsid w:val="00B27F1E"/>
    <w:rsid w:val="00B320E0"/>
    <w:rsid w:val="00B32D83"/>
    <w:rsid w:val="00B35A2B"/>
    <w:rsid w:val="00B44C87"/>
    <w:rsid w:val="00B47772"/>
    <w:rsid w:val="00B525E7"/>
    <w:rsid w:val="00B5298A"/>
    <w:rsid w:val="00B52BC2"/>
    <w:rsid w:val="00B5443F"/>
    <w:rsid w:val="00B54B9E"/>
    <w:rsid w:val="00B5655B"/>
    <w:rsid w:val="00B602C0"/>
    <w:rsid w:val="00B639CC"/>
    <w:rsid w:val="00B65AA6"/>
    <w:rsid w:val="00B67A38"/>
    <w:rsid w:val="00B736AC"/>
    <w:rsid w:val="00B753D4"/>
    <w:rsid w:val="00B777DB"/>
    <w:rsid w:val="00B804DA"/>
    <w:rsid w:val="00B83BD4"/>
    <w:rsid w:val="00B85970"/>
    <w:rsid w:val="00B873B1"/>
    <w:rsid w:val="00B91C42"/>
    <w:rsid w:val="00BB0ED6"/>
    <w:rsid w:val="00BB1C0A"/>
    <w:rsid w:val="00BB4376"/>
    <w:rsid w:val="00BB4A45"/>
    <w:rsid w:val="00BB4B74"/>
    <w:rsid w:val="00BB5DAA"/>
    <w:rsid w:val="00BB6FED"/>
    <w:rsid w:val="00BC41B2"/>
    <w:rsid w:val="00BC45B6"/>
    <w:rsid w:val="00BC4F9E"/>
    <w:rsid w:val="00BE0799"/>
    <w:rsid w:val="00BE26D9"/>
    <w:rsid w:val="00BF1119"/>
    <w:rsid w:val="00BF5510"/>
    <w:rsid w:val="00C00C31"/>
    <w:rsid w:val="00C01FAF"/>
    <w:rsid w:val="00C070A2"/>
    <w:rsid w:val="00C10D37"/>
    <w:rsid w:val="00C13A0F"/>
    <w:rsid w:val="00C14C4A"/>
    <w:rsid w:val="00C17E66"/>
    <w:rsid w:val="00C242A9"/>
    <w:rsid w:val="00C24D87"/>
    <w:rsid w:val="00C3032A"/>
    <w:rsid w:val="00C31C6D"/>
    <w:rsid w:val="00C31FF2"/>
    <w:rsid w:val="00C33C36"/>
    <w:rsid w:val="00C34E53"/>
    <w:rsid w:val="00C37264"/>
    <w:rsid w:val="00C408D1"/>
    <w:rsid w:val="00C44645"/>
    <w:rsid w:val="00C50A3F"/>
    <w:rsid w:val="00C51474"/>
    <w:rsid w:val="00C51847"/>
    <w:rsid w:val="00C55C36"/>
    <w:rsid w:val="00C61072"/>
    <w:rsid w:val="00C6137D"/>
    <w:rsid w:val="00C61540"/>
    <w:rsid w:val="00C61B0C"/>
    <w:rsid w:val="00C634E4"/>
    <w:rsid w:val="00C67D4C"/>
    <w:rsid w:val="00C706FA"/>
    <w:rsid w:val="00C808FE"/>
    <w:rsid w:val="00C81D18"/>
    <w:rsid w:val="00C82258"/>
    <w:rsid w:val="00C82744"/>
    <w:rsid w:val="00C836D9"/>
    <w:rsid w:val="00C84109"/>
    <w:rsid w:val="00C843F0"/>
    <w:rsid w:val="00C85F66"/>
    <w:rsid w:val="00C95F0B"/>
    <w:rsid w:val="00CA0CFD"/>
    <w:rsid w:val="00CA37C8"/>
    <w:rsid w:val="00CA5047"/>
    <w:rsid w:val="00CC1221"/>
    <w:rsid w:val="00CC4EE7"/>
    <w:rsid w:val="00CD4CC6"/>
    <w:rsid w:val="00CD5C22"/>
    <w:rsid w:val="00CE257D"/>
    <w:rsid w:val="00CE363E"/>
    <w:rsid w:val="00CF1430"/>
    <w:rsid w:val="00CF1AE4"/>
    <w:rsid w:val="00D0046C"/>
    <w:rsid w:val="00D00979"/>
    <w:rsid w:val="00D01E3B"/>
    <w:rsid w:val="00D05480"/>
    <w:rsid w:val="00D06EEA"/>
    <w:rsid w:val="00D11946"/>
    <w:rsid w:val="00D14F71"/>
    <w:rsid w:val="00D15612"/>
    <w:rsid w:val="00D156E5"/>
    <w:rsid w:val="00D17A89"/>
    <w:rsid w:val="00D204BD"/>
    <w:rsid w:val="00D21619"/>
    <w:rsid w:val="00D21B1B"/>
    <w:rsid w:val="00D220B5"/>
    <w:rsid w:val="00D26063"/>
    <w:rsid w:val="00D30FB0"/>
    <w:rsid w:val="00D32734"/>
    <w:rsid w:val="00D32832"/>
    <w:rsid w:val="00D33C76"/>
    <w:rsid w:val="00D34827"/>
    <w:rsid w:val="00D3642E"/>
    <w:rsid w:val="00D41F8D"/>
    <w:rsid w:val="00D451AB"/>
    <w:rsid w:val="00D50991"/>
    <w:rsid w:val="00D578AF"/>
    <w:rsid w:val="00D61DA0"/>
    <w:rsid w:val="00D65D7A"/>
    <w:rsid w:val="00D6793A"/>
    <w:rsid w:val="00D70DB9"/>
    <w:rsid w:val="00D73413"/>
    <w:rsid w:val="00D7347C"/>
    <w:rsid w:val="00D74D7F"/>
    <w:rsid w:val="00D75348"/>
    <w:rsid w:val="00D80F6F"/>
    <w:rsid w:val="00D820E3"/>
    <w:rsid w:val="00D9342C"/>
    <w:rsid w:val="00D944CB"/>
    <w:rsid w:val="00DA326B"/>
    <w:rsid w:val="00DA3BCE"/>
    <w:rsid w:val="00DA59FA"/>
    <w:rsid w:val="00DB1157"/>
    <w:rsid w:val="00DB295F"/>
    <w:rsid w:val="00DB29E4"/>
    <w:rsid w:val="00DB3826"/>
    <w:rsid w:val="00DB47DC"/>
    <w:rsid w:val="00DB74F2"/>
    <w:rsid w:val="00DC205C"/>
    <w:rsid w:val="00DC5687"/>
    <w:rsid w:val="00DC6575"/>
    <w:rsid w:val="00DC7A5D"/>
    <w:rsid w:val="00DD00EF"/>
    <w:rsid w:val="00DD1CF8"/>
    <w:rsid w:val="00DD6102"/>
    <w:rsid w:val="00DD71F1"/>
    <w:rsid w:val="00DE00C5"/>
    <w:rsid w:val="00DE3FB5"/>
    <w:rsid w:val="00DF2749"/>
    <w:rsid w:val="00DF60A6"/>
    <w:rsid w:val="00E00D0A"/>
    <w:rsid w:val="00E05B5A"/>
    <w:rsid w:val="00E05F1B"/>
    <w:rsid w:val="00E07B93"/>
    <w:rsid w:val="00E07E15"/>
    <w:rsid w:val="00E1354A"/>
    <w:rsid w:val="00E13D40"/>
    <w:rsid w:val="00E161F8"/>
    <w:rsid w:val="00E26EE5"/>
    <w:rsid w:val="00E32815"/>
    <w:rsid w:val="00E33554"/>
    <w:rsid w:val="00E40596"/>
    <w:rsid w:val="00E40BA9"/>
    <w:rsid w:val="00E41B77"/>
    <w:rsid w:val="00E45EC3"/>
    <w:rsid w:val="00E47C4F"/>
    <w:rsid w:val="00E51660"/>
    <w:rsid w:val="00E541A3"/>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77CC"/>
    <w:rsid w:val="00EC0997"/>
    <w:rsid w:val="00EC2EEF"/>
    <w:rsid w:val="00EC5DDD"/>
    <w:rsid w:val="00ED2F39"/>
    <w:rsid w:val="00ED30F4"/>
    <w:rsid w:val="00ED43BB"/>
    <w:rsid w:val="00ED449A"/>
    <w:rsid w:val="00ED68E9"/>
    <w:rsid w:val="00EE1FC2"/>
    <w:rsid w:val="00EF5245"/>
    <w:rsid w:val="00EF670C"/>
    <w:rsid w:val="00F11F09"/>
    <w:rsid w:val="00F1455B"/>
    <w:rsid w:val="00F16D36"/>
    <w:rsid w:val="00F210FD"/>
    <w:rsid w:val="00F250D2"/>
    <w:rsid w:val="00F33087"/>
    <w:rsid w:val="00F350B2"/>
    <w:rsid w:val="00F372A2"/>
    <w:rsid w:val="00F4243D"/>
    <w:rsid w:val="00F4304A"/>
    <w:rsid w:val="00F43155"/>
    <w:rsid w:val="00F44DA4"/>
    <w:rsid w:val="00F45BA7"/>
    <w:rsid w:val="00F45BE9"/>
    <w:rsid w:val="00F46308"/>
    <w:rsid w:val="00F46F4A"/>
    <w:rsid w:val="00F52CE1"/>
    <w:rsid w:val="00F57917"/>
    <w:rsid w:val="00F60788"/>
    <w:rsid w:val="00F7063D"/>
    <w:rsid w:val="00F70C88"/>
    <w:rsid w:val="00F7168A"/>
    <w:rsid w:val="00F734AD"/>
    <w:rsid w:val="00F745D9"/>
    <w:rsid w:val="00F76618"/>
    <w:rsid w:val="00F76E42"/>
    <w:rsid w:val="00F81D1B"/>
    <w:rsid w:val="00F83FBC"/>
    <w:rsid w:val="00F841A7"/>
    <w:rsid w:val="00F84292"/>
    <w:rsid w:val="00F85E04"/>
    <w:rsid w:val="00F864DA"/>
    <w:rsid w:val="00F9134D"/>
    <w:rsid w:val="00F92643"/>
    <w:rsid w:val="00F936B3"/>
    <w:rsid w:val="00F97F7D"/>
    <w:rsid w:val="00FA0333"/>
    <w:rsid w:val="00FA0F96"/>
    <w:rsid w:val="00FA19D5"/>
    <w:rsid w:val="00FA3EE8"/>
    <w:rsid w:val="00FA6669"/>
    <w:rsid w:val="00FA7639"/>
    <w:rsid w:val="00FB3457"/>
    <w:rsid w:val="00FB3E2C"/>
    <w:rsid w:val="00FB695B"/>
    <w:rsid w:val="00FC037E"/>
    <w:rsid w:val="00FC19B9"/>
    <w:rsid w:val="00FC4DE3"/>
    <w:rsid w:val="00FC6716"/>
    <w:rsid w:val="00FD00A5"/>
    <w:rsid w:val="00FD4B0F"/>
    <w:rsid w:val="00FE0661"/>
    <w:rsid w:val="00FF0C09"/>
    <w:rsid w:val="00FF1DD7"/>
    <w:rsid w:val="00FF2646"/>
    <w:rsid w:val="00FF3775"/>
    <w:rsid w:val="016000D1"/>
    <w:rsid w:val="018A24FB"/>
    <w:rsid w:val="01AD5E0C"/>
    <w:rsid w:val="01CE5D1C"/>
    <w:rsid w:val="027E25A1"/>
    <w:rsid w:val="02BF77F6"/>
    <w:rsid w:val="02C7523F"/>
    <w:rsid w:val="02F079B0"/>
    <w:rsid w:val="02F959C1"/>
    <w:rsid w:val="03217B69"/>
    <w:rsid w:val="0353368D"/>
    <w:rsid w:val="039E595D"/>
    <w:rsid w:val="03A26EFC"/>
    <w:rsid w:val="03AB309D"/>
    <w:rsid w:val="03BB3205"/>
    <w:rsid w:val="03CA1C18"/>
    <w:rsid w:val="03DB54A0"/>
    <w:rsid w:val="0401695A"/>
    <w:rsid w:val="044C6BF0"/>
    <w:rsid w:val="0499332B"/>
    <w:rsid w:val="04AE1728"/>
    <w:rsid w:val="04FF212C"/>
    <w:rsid w:val="052A1AAE"/>
    <w:rsid w:val="05795F00"/>
    <w:rsid w:val="057D0C7E"/>
    <w:rsid w:val="05BB511F"/>
    <w:rsid w:val="0644186E"/>
    <w:rsid w:val="0699088C"/>
    <w:rsid w:val="070F07F6"/>
    <w:rsid w:val="071E3C0C"/>
    <w:rsid w:val="07722B6E"/>
    <w:rsid w:val="077D4575"/>
    <w:rsid w:val="07D4597E"/>
    <w:rsid w:val="07DA6A0F"/>
    <w:rsid w:val="08083403"/>
    <w:rsid w:val="08E54DD4"/>
    <w:rsid w:val="08EF58C5"/>
    <w:rsid w:val="08FC587F"/>
    <w:rsid w:val="09302681"/>
    <w:rsid w:val="09BE5E2A"/>
    <w:rsid w:val="0A091F73"/>
    <w:rsid w:val="0A546A76"/>
    <w:rsid w:val="0A6A1307"/>
    <w:rsid w:val="0A6F4FD3"/>
    <w:rsid w:val="0A74019D"/>
    <w:rsid w:val="0A8504E9"/>
    <w:rsid w:val="0BA031E7"/>
    <w:rsid w:val="0C184BF9"/>
    <w:rsid w:val="0C6236CC"/>
    <w:rsid w:val="0C655C90"/>
    <w:rsid w:val="0CAE14FB"/>
    <w:rsid w:val="0D334799"/>
    <w:rsid w:val="0D477394"/>
    <w:rsid w:val="0D92619C"/>
    <w:rsid w:val="0DC12491"/>
    <w:rsid w:val="0DD17ACF"/>
    <w:rsid w:val="0DFE2DC6"/>
    <w:rsid w:val="0E033194"/>
    <w:rsid w:val="0E5C05EF"/>
    <w:rsid w:val="0E7F21FD"/>
    <w:rsid w:val="0E9824E1"/>
    <w:rsid w:val="0EAD49A7"/>
    <w:rsid w:val="0EC674A2"/>
    <w:rsid w:val="0EDD528C"/>
    <w:rsid w:val="0F3E27F2"/>
    <w:rsid w:val="0F412CA9"/>
    <w:rsid w:val="0F7B31D4"/>
    <w:rsid w:val="0FD566D2"/>
    <w:rsid w:val="0FFD4552"/>
    <w:rsid w:val="101C11CB"/>
    <w:rsid w:val="10412E95"/>
    <w:rsid w:val="1064487F"/>
    <w:rsid w:val="107E5C6D"/>
    <w:rsid w:val="11472E91"/>
    <w:rsid w:val="116B0420"/>
    <w:rsid w:val="117C04A4"/>
    <w:rsid w:val="11BB5888"/>
    <w:rsid w:val="11E94D98"/>
    <w:rsid w:val="120A1DD8"/>
    <w:rsid w:val="12825822"/>
    <w:rsid w:val="128D633E"/>
    <w:rsid w:val="12B148BA"/>
    <w:rsid w:val="12BE53D5"/>
    <w:rsid w:val="12C86B6E"/>
    <w:rsid w:val="13B2170D"/>
    <w:rsid w:val="13B97480"/>
    <w:rsid w:val="14034EB5"/>
    <w:rsid w:val="14870494"/>
    <w:rsid w:val="14BF71E2"/>
    <w:rsid w:val="15085E8C"/>
    <w:rsid w:val="15174F60"/>
    <w:rsid w:val="15273705"/>
    <w:rsid w:val="1556095A"/>
    <w:rsid w:val="1568787A"/>
    <w:rsid w:val="15A42761"/>
    <w:rsid w:val="16013F56"/>
    <w:rsid w:val="1641003A"/>
    <w:rsid w:val="16635F9A"/>
    <w:rsid w:val="167D7F24"/>
    <w:rsid w:val="16F57096"/>
    <w:rsid w:val="17306AB5"/>
    <w:rsid w:val="17373F64"/>
    <w:rsid w:val="180B7017"/>
    <w:rsid w:val="18212C96"/>
    <w:rsid w:val="18AB2917"/>
    <w:rsid w:val="19A054D6"/>
    <w:rsid w:val="1A10569F"/>
    <w:rsid w:val="1A710F7F"/>
    <w:rsid w:val="1B0717C8"/>
    <w:rsid w:val="1B32070E"/>
    <w:rsid w:val="1BE33681"/>
    <w:rsid w:val="1C7D30EE"/>
    <w:rsid w:val="1CFC4560"/>
    <w:rsid w:val="1DF261E4"/>
    <w:rsid w:val="1E182329"/>
    <w:rsid w:val="1E760041"/>
    <w:rsid w:val="1EDF7144"/>
    <w:rsid w:val="1FD14F80"/>
    <w:rsid w:val="1FE65F6B"/>
    <w:rsid w:val="202A4523"/>
    <w:rsid w:val="205259AA"/>
    <w:rsid w:val="20BA4472"/>
    <w:rsid w:val="20CD6D1D"/>
    <w:rsid w:val="20E12E94"/>
    <w:rsid w:val="20FE5D2D"/>
    <w:rsid w:val="21091871"/>
    <w:rsid w:val="21862EC6"/>
    <w:rsid w:val="21C65110"/>
    <w:rsid w:val="22B42FE9"/>
    <w:rsid w:val="230A46AD"/>
    <w:rsid w:val="23381808"/>
    <w:rsid w:val="23713853"/>
    <w:rsid w:val="237A2B2A"/>
    <w:rsid w:val="23865275"/>
    <w:rsid w:val="240E1AC4"/>
    <w:rsid w:val="240F127A"/>
    <w:rsid w:val="24D2052B"/>
    <w:rsid w:val="24E56CBA"/>
    <w:rsid w:val="253C3CD6"/>
    <w:rsid w:val="25441DB3"/>
    <w:rsid w:val="25EA7D57"/>
    <w:rsid w:val="267672BC"/>
    <w:rsid w:val="279627A8"/>
    <w:rsid w:val="27DF6EE8"/>
    <w:rsid w:val="27F85D17"/>
    <w:rsid w:val="28312D16"/>
    <w:rsid w:val="288428A8"/>
    <w:rsid w:val="2887212D"/>
    <w:rsid w:val="289F2306"/>
    <w:rsid w:val="28F4550C"/>
    <w:rsid w:val="291C3073"/>
    <w:rsid w:val="292813A2"/>
    <w:rsid w:val="29381B9B"/>
    <w:rsid w:val="29514007"/>
    <w:rsid w:val="29C75B9C"/>
    <w:rsid w:val="29D33614"/>
    <w:rsid w:val="29D476C9"/>
    <w:rsid w:val="2A562D00"/>
    <w:rsid w:val="2A7B0223"/>
    <w:rsid w:val="2A8B1A57"/>
    <w:rsid w:val="2B407DF1"/>
    <w:rsid w:val="2C154F49"/>
    <w:rsid w:val="2C4F36F5"/>
    <w:rsid w:val="2C5A5D16"/>
    <w:rsid w:val="2C957B64"/>
    <w:rsid w:val="2CF73544"/>
    <w:rsid w:val="2D177764"/>
    <w:rsid w:val="2D3B23E6"/>
    <w:rsid w:val="2D5F22BD"/>
    <w:rsid w:val="2E0D647D"/>
    <w:rsid w:val="2E6F567F"/>
    <w:rsid w:val="2EFC029C"/>
    <w:rsid w:val="2F7A5C04"/>
    <w:rsid w:val="2F9F49D6"/>
    <w:rsid w:val="2FF37D11"/>
    <w:rsid w:val="300A0596"/>
    <w:rsid w:val="3013049D"/>
    <w:rsid w:val="30B57A97"/>
    <w:rsid w:val="30DB4B30"/>
    <w:rsid w:val="30E37998"/>
    <w:rsid w:val="311F587E"/>
    <w:rsid w:val="31550315"/>
    <w:rsid w:val="31DE6AA2"/>
    <w:rsid w:val="31F07456"/>
    <w:rsid w:val="32372F05"/>
    <w:rsid w:val="332C3D99"/>
    <w:rsid w:val="33462D82"/>
    <w:rsid w:val="340053F5"/>
    <w:rsid w:val="342A06C4"/>
    <w:rsid w:val="3468522A"/>
    <w:rsid w:val="349F56CD"/>
    <w:rsid w:val="34BF68DD"/>
    <w:rsid w:val="34F0112A"/>
    <w:rsid w:val="34FF1C3B"/>
    <w:rsid w:val="35EF5040"/>
    <w:rsid w:val="360B5649"/>
    <w:rsid w:val="36500449"/>
    <w:rsid w:val="36582C80"/>
    <w:rsid w:val="365875C5"/>
    <w:rsid w:val="36903D75"/>
    <w:rsid w:val="369447E6"/>
    <w:rsid w:val="36BE77CF"/>
    <w:rsid w:val="36D6243D"/>
    <w:rsid w:val="36E20E6E"/>
    <w:rsid w:val="372543F3"/>
    <w:rsid w:val="37496EB8"/>
    <w:rsid w:val="37AE7B75"/>
    <w:rsid w:val="37C8622A"/>
    <w:rsid w:val="38011AD0"/>
    <w:rsid w:val="38152389"/>
    <w:rsid w:val="38431D54"/>
    <w:rsid w:val="38D116D2"/>
    <w:rsid w:val="39356049"/>
    <w:rsid w:val="394F3355"/>
    <w:rsid w:val="399651CC"/>
    <w:rsid w:val="39B428BF"/>
    <w:rsid w:val="3A337874"/>
    <w:rsid w:val="3AB94550"/>
    <w:rsid w:val="3ACB5EC4"/>
    <w:rsid w:val="3B456A98"/>
    <w:rsid w:val="3B4E60E4"/>
    <w:rsid w:val="3B5E6B50"/>
    <w:rsid w:val="3BB114AD"/>
    <w:rsid w:val="3BF7125C"/>
    <w:rsid w:val="3BFE2074"/>
    <w:rsid w:val="3C61616F"/>
    <w:rsid w:val="3CB50CFF"/>
    <w:rsid w:val="3CD63197"/>
    <w:rsid w:val="3CF1628C"/>
    <w:rsid w:val="3D5234B4"/>
    <w:rsid w:val="3DB559CA"/>
    <w:rsid w:val="3E7E0A81"/>
    <w:rsid w:val="3ED25BE0"/>
    <w:rsid w:val="3F5F1BF9"/>
    <w:rsid w:val="3F6D2A1A"/>
    <w:rsid w:val="3F8C7277"/>
    <w:rsid w:val="3FA0222F"/>
    <w:rsid w:val="3FA25346"/>
    <w:rsid w:val="402D2248"/>
    <w:rsid w:val="40311615"/>
    <w:rsid w:val="408F3BB9"/>
    <w:rsid w:val="40A35A86"/>
    <w:rsid w:val="40C677BC"/>
    <w:rsid w:val="40CE6001"/>
    <w:rsid w:val="40FD3A11"/>
    <w:rsid w:val="410D393E"/>
    <w:rsid w:val="41496FB6"/>
    <w:rsid w:val="41526B64"/>
    <w:rsid w:val="41CC1486"/>
    <w:rsid w:val="41F35312"/>
    <w:rsid w:val="4261624B"/>
    <w:rsid w:val="42795368"/>
    <w:rsid w:val="429D02B3"/>
    <w:rsid w:val="42D769B6"/>
    <w:rsid w:val="4358477E"/>
    <w:rsid w:val="43631B6F"/>
    <w:rsid w:val="43D81B88"/>
    <w:rsid w:val="44355499"/>
    <w:rsid w:val="445350CD"/>
    <w:rsid w:val="44BA5A3C"/>
    <w:rsid w:val="44BE5504"/>
    <w:rsid w:val="44CD30D2"/>
    <w:rsid w:val="44DE3858"/>
    <w:rsid w:val="44F600D3"/>
    <w:rsid w:val="45444DD9"/>
    <w:rsid w:val="45617704"/>
    <w:rsid w:val="45BB491C"/>
    <w:rsid w:val="46146891"/>
    <w:rsid w:val="463E7C5E"/>
    <w:rsid w:val="46625A9C"/>
    <w:rsid w:val="470E1C87"/>
    <w:rsid w:val="47411FC6"/>
    <w:rsid w:val="47C97EE0"/>
    <w:rsid w:val="47D74267"/>
    <w:rsid w:val="47E12BF6"/>
    <w:rsid w:val="48B048DB"/>
    <w:rsid w:val="491771C9"/>
    <w:rsid w:val="4A2B3FB0"/>
    <w:rsid w:val="4A4D25BF"/>
    <w:rsid w:val="4A745D9D"/>
    <w:rsid w:val="4AA74168"/>
    <w:rsid w:val="4AC946DB"/>
    <w:rsid w:val="4AE74566"/>
    <w:rsid w:val="4B0316C8"/>
    <w:rsid w:val="4B8C0594"/>
    <w:rsid w:val="4C0F7B1B"/>
    <w:rsid w:val="4C7E58AB"/>
    <w:rsid w:val="4CA706AC"/>
    <w:rsid w:val="4CFA4C80"/>
    <w:rsid w:val="4CFE380A"/>
    <w:rsid w:val="4D455AA0"/>
    <w:rsid w:val="4D862B8C"/>
    <w:rsid w:val="4DA70C69"/>
    <w:rsid w:val="4DB97072"/>
    <w:rsid w:val="4DE167DD"/>
    <w:rsid w:val="4DFF35F5"/>
    <w:rsid w:val="4E0A0170"/>
    <w:rsid w:val="4E5C3C3A"/>
    <w:rsid w:val="4EB16054"/>
    <w:rsid w:val="4EF47599"/>
    <w:rsid w:val="4F7003C5"/>
    <w:rsid w:val="4FE3578A"/>
    <w:rsid w:val="5022714D"/>
    <w:rsid w:val="51B502D0"/>
    <w:rsid w:val="520F2CA1"/>
    <w:rsid w:val="52B91474"/>
    <w:rsid w:val="52C10815"/>
    <w:rsid w:val="52D77851"/>
    <w:rsid w:val="5332073F"/>
    <w:rsid w:val="53996A5B"/>
    <w:rsid w:val="53D14B04"/>
    <w:rsid w:val="547F5144"/>
    <w:rsid w:val="54E94B5B"/>
    <w:rsid w:val="55036316"/>
    <w:rsid w:val="554C30F2"/>
    <w:rsid w:val="55661639"/>
    <w:rsid w:val="55761622"/>
    <w:rsid w:val="5576313B"/>
    <w:rsid w:val="55DF29CE"/>
    <w:rsid w:val="560E2286"/>
    <w:rsid w:val="561F3061"/>
    <w:rsid w:val="56225F93"/>
    <w:rsid w:val="56557723"/>
    <w:rsid w:val="566E1913"/>
    <w:rsid w:val="56F148CB"/>
    <w:rsid w:val="57120E18"/>
    <w:rsid w:val="573640FB"/>
    <w:rsid w:val="57996E43"/>
    <w:rsid w:val="58046C98"/>
    <w:rsid w:val="58A54DFB"/>
    <w:rsid w:val="58A576D9"/>
    <w:rsid w:val="594F3C5E"/>
    <w:rsid w:val="59755B41"/>
    <w:rsid w:val="59AA358A"/>
    <w:rsid w:val="5A301AB6"/>
    <w:rsid w:val="5A3676CF"/>
    <w:rsid w:val="5A5F757C"/>
    <w:rsid w:val="5A9B4C7D"/>
    <w:rsid w:val="5B3E2B54"/>
    <w:rsid w:val="5B5C15FC"/>
    <w:rsid w:val="5BD13050"/>
    <w:rsid w:val="5BD857FA"/>
    <w:rsid w:val="5C080481"/>
    <w:rsid w:val="5C6E4AD0"/>
    <w:rsid w:val="5CB21953"/>
    <w:rsid w:val="5CC2317E"/>
    <w:rsid w:val="5D4255ED"/>
    <w:rsid w:val="5D69231A"/>
    <w:rsid w:val="5DB156DB"/>
    <w:rsid w:val="5DDE1C96"/>
    <w:rsid w:val="5DF1535F"/>
    <w:rsid w:val="5E202145"/>
    <w:rsid w:val="5E7509DD"/>
    <w:rsid w:val="5F2931A3"/>
    <w:rsid w:val="5F621BCD"/>
    <w:rsid w:val="5FC670CE"/>
    <w:rsid w:val="5FFF75B1"/>
    <w:rsid w:val="6031647B"/>
    <w:rsid w:val="604C0C48"/>
    <w:rsid w:val="60550442"/>
    <w:rsid w:val="60B86FA7"/>
    <w:rsid w:val="60BC2E41"/>
    <w:rsid w:val="60D86C68"/>
    <w:rsid w:val="60F5739D"/>
    <w:rsid w:val="60F67D79"/>
    <w:rsid w:val="615C25A6"/>
    <w:rsid w:val="621A6156"/>
    <w:rsid w:val="624D71A8"/>
    <w:rsid w:val="625E0B29"/>
    <w:rsid w:val="62604C2C"/>
    <w:rsid w:val="629979ED"/>
    <w:rsid w:val="62A20917"/>
    <w:rsid w:val="62AB7862"/>
    <w:rsid w:val="62F74A7A"/>
    <w:rsid w:val="630D631C"/>
    <w:rsid w:val="637B099C"/>
    <w:rsid w:val="645F7730"/>
    <w:rsid w:val="64A15862"/>
    <w:rsid w:val="64BD0615"/>
    <w:rsid w:val="64CE3B13"/>
    <w:rsid w:val="65080A85"/>
    <w:rsid w:val="65716420"/>
    <w:rsid w:val="65952D27"/>
    <w:rsid w:val="66082B94"/>
    <w:rsid w:val="663178D3"/>
    <w:rsid w:val="668E2223"/>
    <w:rsid w:val="673858C6"/>
    <w:rsid w:val="67B1181C"/>
    <w:rsid w:val="68164596"/>
    <w:rsid w:val="683026D9"/>
    <w:rsid w:val="6834370B"/>
    <w:rsid w:val="683B5501"/>
    <w:rsid w:val="683E5F38"/>
    <w:rsid w:val="68423EEC"/>
    <w:rsid w:val="684A7A84"/>
    <w:rsid w:val="684D4516"/>
    <w:rsid w:val="686D1199"/>
    <w:rsid w:val="68945B31"/>
    <w:rsid w:val="68F76277"/>
    <w:rsid w:val="6919750D"/>
    <w:rsid w:val="693F388B"/>
    <w:rsid w:val="69AF20E2"/>
    <w:rsid w:val="6A5F5C08"/>
    <w:rsid w:val="6A7774B8"/>
    <w:rsid w:val="6A790F3B"/>
    <w:rsid w:val="6A86769D"/>
    <w:rsid w:val="6A971908"/>
    <w:rsid w:val="6ABB785C"/>
    <w:rsid w:val="6B0C7B33"/>
    <w:rsid w:val="6B4D585A"/>
    <w:rsid w:val="6B4E5BD4"/>
    <w:rsid w:val="6C033A1C"/>
    <w:rsid w:val="6C081755"/>
    <w:rsid w:val="6C151FE8"/>
    <w:rsid w:val="6C726189"/>
    <w:rsid w:val="6CE66F40"/>
    <w:rsid w:val="6D4C59E2"/>
    <w:rsid w:val="6D8371D6"/>
    <w:rsid w:val="6D8C7646"/>
    <w:rsid w:val="6DBA21A1"/>
    <w:rsid w:val="6DF944A0"/>
    <w:rsid w:val="6E2D223C"/>
    <w:rsid w:val="6E95615F"/>
    <w:rsid w:val="6EA421F9"/>
    <w:rsid w:val="6ECE1304"/>
    <w:rsid w:val="6F165703"/>
    <w:rsid w:val="6F226D64"/>
    <w:rsid w:val="6F235278"/>
    <w:rsid w:val="6F5074C1"/>
    <w:rsid w:val="6F9500AA"/>
    <w:rsid w:val="6FF47798"/>
    <w:rsid w:val="701D437B"/>
    <w:rsid w:val="7058631C"/>
    <w:rsid w:val="7059133D"/>
    <w:rsid w:val="70AE0663"/>
    <w:rsid w:val="70CF71B4"/>
    <w:rsid w:val="70EB0869"/>
    <w:rsid w:val="7178505D"/>
    <w:rsid w:val="71A843FB"/>
    <w:rsid w:val="724D02FF"/>
    <w:rsid w:val="72C800AA"/>
    <w:rsid w:val="732F114F"/>
    <w:rsid w:val="734E22B4"/>
    <w:rsid w:val="735E1294"/>
    <w:rsid w:val="736D2353"/>
    <w:rsid w:val="73731F46"/>
    <w:rsid w:val="73890249"/>
    <w:rsid w:val="73920EBF"/>
    <w:rsid w:val="73962CD0"/>
    <w:rsid w:val="739A54D1"/>
    <w:rsid w:val="74176C8F"/>
    <w:rsid w:val="74845B8D"/>
    <w:rsid w:val="74873851"/>
    <w:rsid w:val="74D44144"/>
    <w:rsid w:val="74DB3CBE"/>
    <w:rsid w:val="767E7F6D"/>
    <w:rsid w:val="76A97403"/>
    <w:rsid w:val="76C76727"/>
    <w:rsid w:val="77291B3A"/>
    <w:rsid w:val="774B7014"/>
    <w:rsid w:val="782B3690"/>
    <w:rsid w:val="78307A22"/>
    <w:rsid w:val="78742D7A"/>
    <w:rsid w:val="78890305"/>
    <w:rsid w:val="78AF3D07"/>
    <w:rsid w:val="78D15779"/>
    <w:rsid w:val="78D90D4A"/>
    <w:rsid w:val="79D264B9"/>
    <w:rsid w:val="7A1625A2"/>
    <w:rsid w:val="7AF5051C"/>
    <w:rsid w:val="7B602864"/>
    <w:rsid w:val="7B9312AA"/>
    <w:rsid w:val="7BA67048"/>
    <w:rsid w:val="7BBA680A"/>
    <w:rsid w:val="7BDB7862"/>
    <w:rsid w:val="7BE826AE"/>
    <w:rsid w:val="7BE8626D"/>
    <w:rsid w:val="7C112907"/>
    <w:rsid w:val="7C2B4436"/>
    <w:rsid w:val="7C346735"/>
    <w:rsid w:val="7C354ADD"/>
    <w:rsid w:val="7C416E38"/>
    <w:rsid w:val="7C5C7D7D"/>
    <w:rsid w:val="7C877265"/>
    <w:rsid w:val="7CCF532E"/>
    <w:rsid w:val="7CEA51C3"/>
    <w:rsid w:val="7D031A1C"/>
    <w:rsid w:val="7D7171CC"/>
    <w:rsid w:val="7DBA0F25"/>
    <w:rsid w:val="7DC425BD"/>
    <w:rsid w:val="7E00338F"/>
    <w:rsid w:val="7E117254"/>
    <w:rsid w:val="7E357016"/>
    <w:rsid w:val="7E896059"/>
    <w:rsid w:val="7E8A7362"/>
    <w:rsid w:val="7EFF1D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qFormat="1" w:uiPriority="0" w:semiHidden="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spacing w:beforeAutospacing="1" w:afterAutospacing="1"/>
      <w:jc w:val="left"/>
      <w:outlineLvl w:val="0"/>
    </w:pPr>
    <w:rPr>
      <w:rFonts w:hint="eastAsia" w:ascii="宋体" w:hAnsi="宋体"/>
      <w:b/>
      <w:bCs/>
      <w:kern w:val="44"/>
      <w:sz w:val="48"/>
      <w:szCs w:val="48"/>
    </w:rPr>
  </w:style>
  <w:style w:type="paragraph" w:styleId="3">
    <w:name w:val="heading 2"/>
    <w:basedOn w:val="1"/>
    <w:next w:val="1"/>
    <w:semiHidden/>
    <w:unhideWhenUsed/>
    <w:qFormat/>
    <w:uiPriority w:val="0"/>
    <w:pPr>
      <w:spacing w:beforeAutospacing="1" w:afterAutospacing="1"/>
      <w:jc w:val="left"/>
      <w:outlineLvl w:val="1"/>
    </w:pPr>
    <w:rPr>
      <w:rFonts w:hint="eastAsia" w:ascii="宋体" w:hAnsi="宋体"/>
      <w:b/>
      <w:bCs/>
      <w:kern w:val="0"/>
      <w:sz w:val="36"/>
      <w:szCs w:val="36"/>
    </w:rPr>
  </w:style>
  <w:style w:type="paragraph" w:styleId="4">
    <w:name w:val="heading 3"/>
    <w:basedOn w:val="1"/>
    <w:next w:val="1"/>
    <w:semiHidden/>
    <w:unhideWhenUsed/>
    <w:qFormat/>
    <w:uiPriority w:val="0"/>
    <w:pPr>
      <w:spacing w:beforeAutospacing="1" w:afterAutospacing="1"/>
      <w:jc w:val="left"/>
      <w:outlineLvl w:val="2"/>
    </w:pPr>
    <w:rPr>
      <w:rFonts w:hint="eastAsia" w:ascii="宋体" w:hAnsi="宋体"/>
      <w:b/>
      <w:bCs/>
      <w:kern w:val="0"/>
      <w:sz w:val="27"/>
      <w:szCs w:val="27"/>
    </w:rPr>
  </w:style>
  <w:style w:type="paragraph" w:styleId="5">
    <w:name w:val="heading 4"/>
    <w:basedOn w:val="1"/>
    <w:next w:val="1"/>
    <w:semiHidden/>
    <w:unhideWhenUsed/>
    <w:qFormat/>
    <w:uiPriority w:val="0"/>
    <w:pPr>
      <w:spacing w:beforeAutospacing="1" w:afterAutospacing="1"/>
      <w:jc w:val="left"/>
      <w:outlineLvl w:val="3"/>
    </w:pPr>
    <w:rPr>
      <w:rFonts w:hint="eastAsia" w:ascii="宋体" w:hAnsi="宋体"/>
      <w:b/>
      <w:bCs/>
      <w:kern w:val="0"/>
      <w:sz w:val="24"/>
    </w:rPr>
  </w:style>
  <w:style w:type="character" w:default="1" w:styleId="14">
    <w:name w:val="Default Paragraph Font"/>
    <w:semiHidden/>
    <w:unhideWhenUsed/>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6">
    <w:name w:val="annotation text"/>
    <w:basedOn w:val="1"/>
    <w:link w:val="44"/>
    <w:autoRedefine/>
    <w:unhideWhenUsed/>
    <w:qFormat/>
    <w:uiPriority w:val="0"/>
    <w:pPr>
      <w:jc w:val="left"/>
    </w:pPr>
  </w:style>
  <w:style w:type="paragraph" w:styleId="7">
    <w:name w:val="Balloon Text"/>
    <w:basedOn w:val="1"/>
    <w:link w:val="43"/>
    <w:autoRedefine/>
    <w:semiHidden/>
    <w:unhideWhenUsed/>
    <w:qFormat/>
    <w:uiPriority w:val="0"/>
    <w:rPr>
      <w:sz w:val="18"/>
      <w:szCs w:val="18"/>
    </w:rPr>
  </w:style>
  <w:style w:type="paragraph" w:styleId="8">
    <w:name w:val="footer"/>
    <w:basedOn w:val="1"/>
    <w:link w:val="35"/>
    <w:qFormat/>
    <w:uiPriority w:val="99"/>
    <w:pPr>
      <w:tabs>
        <w:tab w:val="center" w:pos="4153"/>
        <w:tab w:val="right" w:pos="8306"/>
      </w:tabs>
      <w:snapToGrid w:val="0"/>
      <w:jc w:val="left"/>
    </w:pPr>
    <w:rPr>
      <w:sz w:val="18"/>
      <w:szCs w:val="18"/>
    </w:rPr>
  </w:style>
  <w:style w:type="paragraph" w:styleId="9">
    <w:name w:val="header"/>
    <w:basedOn w:val="1"/>
    <w:link w:val="34"/>
    <w:qFormat/>
    <w:uiPriority w:val="0"/>
    <w:pPr>
      <w:pBdr>
        <w:bottom w:val="single" w:color="auto" w:sz="6" w:space="1"/>
      </w:pBdr>
      <w:tabs>
        <w:tab w:val="center" w:pos="4153"/>
        <w:tab w:val="right" w:pos="8306"/>
      </w:tabs>
      <w:snapToGrid w:val="0"/>
      <w:jc w:val="center"/>
    </w:pPr>
    <w:rPr>
      <w:sz w:val="18"/>
      <w:szCs w:val="18"/>
    </w:rPr>
  </w:style>
  <w:style w:type="paragraph" w:styleId="10">
    <w:name w:val="Normal (Web)"/>
    <w:basedOn w:val="1"/>
    <w:autoRedefine/>
    <w:qFormat/>
    <w:uiPriority w:val="99"/>
    <w:pPr>
      <w:widowControl/>
      <w:tabs>
        <w:tab w:val="left" w:pos="420"/>
      </w:tabs>
      <w:spacing w:line="580" w:lineRule="exact"/>
      <w:ind w:firstLine="425"/>
    </w:pPr>
    <w:rPr>
      <w:rFonts w:eastAsia="仿宋_GB2312"/>
      <w:sz w:val="28"/>
      <w:szCs w:val="32"/>
    </w:rPr>
  </w:style>
  <w:style w:type="paragraph" w:styleId="11">
    <w:name w:val="annotation subject"/>
    <w:basedOn w:val="6"/>
    <w:next w:val="6"/>
    <w:link w:val="45"/>
    <w:autoRedefine/>
    <w:semiHidden/>
    <w:unhideWhenUsed/>
    <w:qFormat/>
    <w:uiPriority w:val="0"/>
    <w:rPr>
      <w:b/>
      <w:bCs/>
    </w:rPr>
  </w:style>
  <w:style w:type="table" w:styleId="13">
    <w:name w:val="Table Grid"/>
    <w:basedOn w:val="12"/>
    <w:autoRedefine/>
    <w:qFormat/>
    <w:uiPriority w:val="3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15">
    <w:name w:val="Strong"/>
    <w:basedOn w:val="14"/>
    <w:qFormat/>
    <w:uiPriority w:val="0"/>
    <w:rPr>
      <w:b/>
    </w:rPr>
  </w:style>
  <w:style w:type="character" w:styleId="16">
    <w:name w:val="Hyperlink"/>
    <w:basedOn w:val="14"/>
    <w:autoRedefine/>
    <w:unhideWhenUsed/>
    <w:qFormat/>
    <w:uiPriority w:val="99"/>
    <w:rPr>
      <w:color w:val="0000FF"/>
      <w:u w:val="single"/>
    </w:rPr>
  </w:style>
  <w:style w:type="character" w:styleId="17">
    <w:name w:val="annotation reference"/>
    <w:basedOn w:val="14"/>
    <w:autoRedefine/>
    <w:semiHidden/>
    <w:unhideWhenUsed/>
    <w:qFormat/>
    <w:uiPriority w:val="0"/>
    <w:rPr>
      <w:sz w:val="21"/>
      <w:szCs w:val="21"/>
    </w:rPr>
  </w:style>
  <w:style w:type="paragraph" w:customStyle="1" w:styleId="18">
    <w:name w:val="段"/>
    <w:link w:val="33"/>
    <w:autoRedefine/>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9">
    <w:name w:val="正文表标题"/>
    <w:next w:val="18"/>
    <w:autoRedefine/>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20">
    <w:name w:val="正文图标题"/>
    <w:next w:val="18"/>
    <w:autoRedefine/>
    <w:qFormat/>
    <w:uiPriority w:val="0"/>
    <w:pPr>
      <w:numPr>
        <w:ilvl w:val="0"/>
        <w:numId w:val="1"/>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21">
    <w:name w:val="其他发布日期"/>
    <w:basedOn w:val="1"/>
    <w:autoRedefine/>
    <w:qFormat/>
    <w:uiPriority w:val="0"/>
    <w:pPr>
      <w:framePr w:w="3997" w:h="471" w:hRule="exact" w:vSpace="181" w:wrap="around" w:vAnchor="page" w:hAnchor="page" w:x="1419" w:y="14097" w:anchorLock="1"/>
      <w:widowControl/>
      <w:numPr>
        <w:ilvl w:val="0"/>
        <w:numId w:val="2"/>
      </w:numPr>
      <w:jc w:val="left"/>
    </w:pPr>
    <w:rPr>
      <w:rFonts w:eastAsia="黑体"/>
      <w:kern w:val="0"/>
      <w:sz w:val="28"/>
      <w:szCs w:val="20"/>
    </w:rPr>
  </w:style>
  <w:style w:type="paragraph" w:customStyle="1" w:styleId="22">
    <w:name w:val="一级条标题"/>
    <w:next w:val="18"/>
    <w:autoRedefine/>
    <w:qFormat/>
    <w:uiPriority w:val="0"/>
    <w:pPr>
      <w:numPr>
        <w:ilvl w:val="1"/>
        <w:numId w:val="3"/>
      </w:numPr>
      <w:spacing w:beforeLines="50" w:afterLines="50"/>
      <w:outlineLvl w:val="2"/>
    </w:pPr>
    <w:rPr>
      <w:rFonts w:ascii="黑体" w:hAnsi="Times New Roman" w:eastAsia="黑体" w:cs="Times New Roman"/>
      <w:sz w:val="21"/>
      <w:szCs w:val="21"/>
      <w:lang w:val="en-US" w:eastAsia="zh-CN" w:bidi="ar-SA"/>
    </w:rPr>
  </w:style>
  <w:style w:type="paragraph" w:customStyle="1" w:styleId="23">
    <w:name w:val="章标题"/>
    <w:next w:val="18"/>
    <w:autoRedefine/>
    <w:qFormat/>
    <w:uiPriority w:val="0"/>
    <w:pPr>
      <w:numPr>
        <w:ilvl w:val="0"/>
        <w:numId w:val="3"/>
      </w:numPr>
      <w:spacing w:beforeLines="100" w:afterLines="100"/>
      <w:jc w:val="both"/>
      <w:outlineLvl w:val="1"/>
    </w:pPr>
    <w:rPr>
      <w:rFonts w:ascii="黑体" w:hAnsi="Times New Roman" w:eastAsia="黑体" w:cs="Times New Roman"/>
      <w:sz w:val="21"/>
      <w:lang w:val="en-US" w:eastAsia="zh-CN" w:bidi="ar-SA"/>
    </w:rPr>
  </w:style>
  <w:style w:type="paragraph" w:customStyle="1" w:styleId="24">
    <w:name w:val="二级条标题"/>
    <w:basedOn w:val="22"/>
    <w:next w:val="18"/>
    <w:autoRedefine/>
    <w:qFormat/>
    <w:uiPriority w:val="0"/>
    <w:pPr>
      <w:numPr>
        <w:ilvl w:val="2"/>
      </w:numPr>
      <w:spacing w:before="50" w:after="50"/>
      <w:outlineLvl w:val="3"/>
    </w:pPr>
  </w:style>
  <w:style w:type="paragraph" w:customStyle="1" w:styleId="25">
    <w:name w:val="三级条标题"/>
    <w:basedOn w:val="24"/>
    <w:next w:val="18"/>
    <w:autoRedefine/>
    <w:qFormat/>
    <w:uiPriority w:val="0"/>
    <w:pPr>
      <w:numPr>
        <w:ilvl w:val="3"/>
      </w:numPr>
      <w:outlineLvl w:val="4"/>
    </w:pPr>
  </w:style>
  <w:style w:type="paragraph" w:customStyle="1" w:styleId="26">
    <w:name w:val="四级条标题"/>
    <w:basedOn w:val="25"/>
    <w:next w:val="18"/>
    <w:autoRedefine/>
    <w:qFormat/>
    <w:uiPriority w:val="0"/>
    <w:pPr>
      <w:numPr>
        <w:ilvl w:val="4"/>
      </w:numPr>
      <w:outlineLvl w:val="5"/>
    </w:pPr>
  </w:style>
  <w:style w:type="paragraph" w:customStyle="1" w:styleId="27">
    <w:name w:val="五级条标题"/>
    <w:basedOn w:val="26"/>
    <w:next w:val="18"/>
    <w:autoRedefine/>
    <w:qFormat/>
    <w:uiPriority w:val="0"/>
    <w:pPr>
      <w:numPr>
        <w:ilvl w:val="5"/>
      </w:numPr>
      <w:outlineLvl w:val="6"/>
    </w:pPr>
  </w:style>
  <w:style w:type="paragraph" w:customStyle="1" w:styleId="28">
    <w:name w:val="注："/>
    <w:next w:val="18"/>
    <w:autoRedefine/>
    <w:qFormat/>
    <w:uiPriority w:val="0"/>
    <w:pPr>
      <w:widowControl w:val="0"/>
      <w:numPr>
        <w:ilvl w:val="0"/>
        <w:numId w:val="4"/>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29">
    <w:name w:val="附录图标号"/>
    <w:basedOn w:val="1"/>
    <w:autoRedefine/>
    <w:qFormat/>
    <w:uiPriority w:val="0"/>
    <w:pPr>
      <w:keepNext/>
      <w:pageBreakBefore/>
      <w:widowControl/>
      <w:numPr>
        <w:ilvl w:val="0"/>
        <w:numId w:val="5"/>
      </w:numPr>
      <w:spacing w:line="14" w:lineRule="exact"/>
      <w:ind w:left="0" w:firstLine="363"/>
      <w:jc w:val="center"/>
      <w:outlineLvl w:val="0"/>
    </w:pPr>
    <w:rPr>
      <w:color w:val="FFFFFF"/>
    </w:rPr>
  </w:style>
  <w:style w:type="paragraph" w:customStyle="1" w:styleId="30">
    <w:name w:val="附录图标题"/>
    <w:basedOn w:val="1"/>
    <w:next w:val="18"/>
    <w:autoRedefine/>
    <w:qFormat/>
    <w:uiPriority w:val="0"/>
    <w:pPr>
      <w:numPr>
        <w:ilvl w:val="1"/>
        <w:numId w:val="5"/>
      </w:numPr>
      <w:tabs>
        <w:tab w:val="left" w:pos="363"/>
      </w:tabs>
      <w:spacing w:beforeLines="50" w:afterLines="50"/>
      <w:ind w:left="0" w:firstLine="0"/>
      <w:jc w:val="center"/>
    </w:pPr>
    <w:rPr>
      <w:rFonts w:ascii="黑体" w:eastAsia="黑体"/>
      <w:szCs w:val="21"/>
    </w:rPr>
  </w:style>
  <w:style w:type="paragraph" w:customStyle="1" w:styleId="31">
    <w:name w:val="注×：（正文）"/>
    <w:autoRedefine/>
    <w:qFormat/>
    <w:uiPriority w:val="0"/>
    <w:pPr>
      <w:numPr>
        <w:ilvl w:val="0"/>
        <w:numId w:val="6"/>
      </w:numPr>
      <w:jc w:val="both"/>
    </w:pPr>
    <w:rPr>
      <w:rFonts w:ascii="宋体" w:hAnsi="Times New Roman" w:eastAsia="宋体" w:cs="Times New Roman"/>
      <w:sz w:val="18"/>
      <w:szCs w:val="18"/>
      <w:lang w:val="en-US" w:eastAsia="zh-CN" w:bidi="ar-SA"/>
    </w:rPr>
  </w:style>
  <w:style w:type="paragraph" w:customStyle="1" w:styleId="32">
    <w:name w:val="图表脚注说明"/>
    <w:basedOn w:val="1"/>
    <w:autoRedefine/>
    <w:qFormat/>
    <w:uiPriority w:val="0"/>
    <w:pPr>
      <w:numPr>
        <w:ilvl w:val="0"/>
        <w:numId w:val="7"/>
      </w:numPr>
    </w:pPr>
    <w:rPr>
      <w:rFonts w:ascii="宋体"/>
      <w:sz w:val="18"/>
      <w:szCs w:val="18"/>
    </w:rPr>
  </w:style>
  <w:style w:type="character" w:customStyle="1" w:styleId="33">
    <w:name w:val="段 Char"/>
    <w:basedOn w:val="14"/>
    <w:link w:val="18"/>
    <w:autoRedefine/>
    <w:qFormat/>
    <w:uiPriority w:val="0"/>
    <w:rPr>
      <w:rFonts w:ascii="宋体"/>
      <w:sz w:val="21"/>
      <w:lang w:val="en-US" w:eastAsia="zh-CN" w:bidi="ar-SA"/>
    </w:rPr>
  </w:style>
  <w:style w:type="character" w:customStyle="1" w:styleId="34">
    <w:name w:val="页眉 字符"/>
    <w:basedOn w:val="14"/>
    <w:link w:val="9"/>
    <w:autoRedefine/>
    <w:qFormat/>
    <w:uiPriority w:val="0"/>
    <w:rPr>
      <w:kern w:val="2"/>
      <w:sz w:val="18"/>
      <w:szCs w:val="18"/>
    </w:rPr>
  </w:style>
  <w:style w:type="character" w:customStyle="1" w:styleId="35">
    <w:name w:val="页脚 字符"/>
    <w:basedOn w:val="14"/>
    <w:link w:val="8"/>
    <w:autoRedefine/>
    <w:qFormat/>
    <w:uiPriority w:val="99"/>
    <w:rPr>
      <w:kern w:val="2"/>
      <w:sz w:val="18"/>
      <w:szCs w:val="18"/>
    </w:rPr>
  </w:style>
  <w:style w:type="paragraph" w:customStyle="1" w:styleId="36">
    <w:name w:val="附录表标题"/>
    <w:basedOn w:val="1"/>
    <w:next w:val="18"/>
    <w:autoRedefine/>
    <w:qFormat/>
    <w:uiPriority w:val="0"/>
    <w:pPr>
      <w:numPr>
        <w:ilvl w:val="1"/>
        <w:numId w:val="8"/>
      </w:numPr>
      <w:tabs>
        <w:tab w:val="left" w:pos="180"/>
      </w:tabs>
      <w:spacing w:beforeLines="50" w:afterLines="50"/>
      <w:ind w:left="0" w:firstLine="0"/>
      <w:jc w:val="center"/>
    </w:pPr>
    <w:rPr>
      <w:rFonts w:ascii="黑体" w:eastAsia="黑体"/>
      <w:szCs w:val="21"/>
    </w:rPr>
  </w:style>
  <w:style w:type="paragraph" w:styleId="37">
    <w:name w:val="List Paragraph"/>
    <w:basedOn w:val="1"/>
    <w:autoRedefine/>
    <w:unhideWhenUsed/>
    <w:qFormat/>
    <w:uiPriority w:val="34"/>
    <w:pPr>
      <w:ind w:firstLine="420" w:firstLineChars="200"/>
    </w:pPr>
  </w:style>
  <w:style w:type="paragraph" w:customStyle="1" w:styleId="38">
    <w:name w:val="其他标准称谓"/>
    <w:autoRedefine/>
    <w:qFormat/>
    <w:uiPriority w:val="0"/>
    <w:pPr>
      <w:spacing w:line="0" w:lineRule="atLeast"/>
      <w:jc w:val="distribute"/>
    </w:pPr>
    <w:rPr>
      <w:rFonts w:ascii="黑体" w:hAnsi="宋体" w:eastAsia="黑体" w:cs="Times New Roman"/>
      <w:sz w:val="52"/>
      <w:lang w:val="en-US" w:eastAsia="zh-CN" w:bidi="ar-SA"/>
    </w:rPr>
  </w:style>
  <w:style w:type="paragraph" w:customStyle="1" w:styleId="39">
    <w:name w:val="封面标准号1"/>
    <w:autoRedefine/>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40">
    <w:name w:val="发布"/>
    <w:autoRedefine/>
    <w:qFormat/>
    <w:uiPriority w:val="0"/>
    <w:rPr>
      <w:rFonts w:ascii="黑体" w:eastAsia="黑体"/>
      <w:spacing w:val="22"/>
      <w:w w:val="100"/>
      <w:position w:val="3"/>
      <w:sz w:val="28"/>
    </w:rPr>
  </w:style>
  <w:style w:type="paragraph" w:customStyle="1" w:styleId="41">
    <w:name w:val="其他发布部门"/>
    <w:basedOn w:val="1"/>
    <w:autoRedefine/>
    <w:qFormat/>
    <w:uiPriority w:val="0"/>
    <w:pPr>
      <w:widowControl/>
      <w:spacing w:line="0" w:lineRule="atLeast"/>
      <w:jc w:val="center"/>
    </w:pPr>
    <w:rPr>
      <w:rFonts w:ascii="黑体" w:eastAsia="黑体"/>
      <w:spacing w:val="20"/>
      <w:w w:val="135"/>
      <w:kern w:val="0"/>
      <w:sz w:val="36"/>
      <w:szCs w:val="20"/>
    </w:rPr>
  </w:style>
  <w:style w:type="paragraph" w:customStyle="1" w:styleId="42">
    <w:name w:val="标准文件_段"/>
    <w:autoRedefine/>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43">
    <w:name w:val="批注框文本 字符"/>
    <w:basedOn w:val="14"/>
    <w:link w:val="7"/>
    <w:autoRedefine/>
    <w:semiHidden/>
    <w:qFormat/>
    <w:uiPriority w:val="0"/>
    <w:rPr>
      <w:rFonts w:ascii="Times New Roman" w:hAnsi="Times New Roman"/>
      <w:kern w:val="2"/>
      <w:sz w:val="18"/>
      <w:szCs w:val="18"/>
    </w:rPr>
  </w:style>
  <w:style w:type="character" w:customStyle="1" w:styleId="44">
    <w:name w:val="批注文字 字符"/>
    <w:basedOn w:val="14"/>
    <w:link w:val="6"/>
    <w:autoRedefine/>
    <w:qFormat/>
    <w:uiPriority w:val="0"/>
    <w:rPr>
      <w:rFonts w:ascii="Times New Roman" w:hAnsi="Times New Roman"/>
      <w:kern w:val="2"/>
      <w:sz w:val="21"/>
      <w:szCs w:val="24"/>
    </w:rPr>
  </w:style>
  <w:style w:type="character" w:customStyle="1" w:styleId="45">
    <w:name w:val="批注主题 字符"/>
    <w:basedOn w:val="44"/>
    <w:link w:val="11"/>
    <w:autoRedefine/>
    <w:semiHidden/>
    <w:qFormat/>
    <w:uiPriority w:val="0"/>
    <w:rPr>
      <w:rFonts w:ascii="Times New Roman" w:hAnsi="Times New Roman"/>
      <w:b/>
      <w:bCs/>
      <w:kern w:val="2"/>
      <w:sz w:val="21"/>
      <w:szCs w:val="24"/>
    </w:rPr>
  </w:style>
  <w:style w:type="paragraph" w:customStyle="1" w:styleId="46">
    <w:name w:val="修订1"/>
    <w:autoRedefine/>
    <w:hidden/>
    <w:semiHidden/>
    <w:qFormat/>
    <w:uiPriority w:val="99"/>
    <w:rPr>
      <w:rFonts w:ascii="Times New Roman" w:hAnsi="Times New Roman" w:eastAsia="宋体" w:cs="Times New Roman"/>
      <w:kern w:val="2"/>
      <w:sz w:val="21"/>
      <w:szCs w:val="24"/>
      <w:lang w:val="en-US" w:eastAsia="zh-CN" w:bidi="ar-SA"/>
    </w:rPr>
  </w:style>
  <w:style w:type="paragraph" w:customStyle="1" w:styleId="47">
    <w:name w:val="BodyText2"/>
    <w:basedOn w:val="1"/>
    <w:autoRedefine/>
    <w:qFormat/>
    <w:uiPriority w:val="0"/>
    <w:pPr>
      <w:spacing w:line="520" w:lineRule="exact"/>
      <w:ind w:firstLine="480" w:firstLineChars="150"/>
      <w:textAlignment w:val="baseline"/>
    </w:pPr>
    <w:rPr>
      <w:rFonts w:ascii="仿宋" w:hAnsi="仿宋" w:eastAsia="仿宋"/>
      <w:bCs/>
      <w:sz w:val="32"/>
      <w:szCs w:val="32"/>
    </w:rPr>
  </w:style>
  <w:style w:type="character" w:customStyle="1" w:styleId="48">
    <w:name w:val="标准文件_段 Char"/>
    <w:basedOn w:val="14"/>
    <w:qFormat/>
    <w:uiPriority w:val="0"/>
    <w:rPr>
      <w:rFonts w:hint="eastAsia" w:ascii="宋体" w:hAnsi="Times New Roman" w:eastAsia="宋体" w:cs="宋体"/>
      <w:sz w:val="21"/>
    </w:rPr>
  </w:style>
  <w:style w:type="paragraph" w:customStyle="1" w:styleId="49">
    <w:name w:val="标准文件_术语条一"/>
    <w:basedOn w:val="50"/>
    <w:next w:val="42"/>
    <w:qFormat/>
    <w:uiPriority w:val="0"/>
    <w:pPr>
      <w:tabs>
        <w:tab w:val="left" w:pos="360"/>
      </w:tabs>
      <w:ind w:left="5244"/>
    </w:pPr>
  </w:style>
  <w:style w:type="paragraph" w:customStyle="1" w:styleId="50">
    <w:name w:val="标准文件_一级无标题"/>
    <w:basedOn w:val="51"/>
    <w:qFormat/>
    <w:uiPriority w:val="0"/>
    <w:pPr>
      <w:spacing w:before="0" w:beforeLines="0" w:after="0" w:afterLines="0"/>
      <w:outlineLvl w:val="9"/>
    </w:pPr>
    <w:rPr>
      <w:rFonts w:ascii="宋体" w:eastAsia="宋体"/>
    </w:rPr>
  </w:style>
  <w:style w:type="paragraph" w:customStyle="1" w:styleId="51">
    <w:name w:val="标准文件_一级条标题"/>
    <w:basedOn w:val="52"/>
    <w:next w:val="42"/>
    <w:qFormat/>
    <w:uiPriority w:val="0"/>
    <w:pPr>
      <w:numPr>
        <w:ilvl w:val="2"/>
        <w:numId w:val="9"/>
      </w:numPr>
      <w:spacing w:before="50" w:beforeLines="50" w:after="50" w:afterLines="50"/>
      <w:outlineLvl w:val="1"/>
    </w:pPr>
    <w:rPr>
      <w:rFonts w:hint="eastAsia"/>
    </w:rPr>
  </w:style>
  <w:style w:type="paragraph" w:customStyle="1" w:styleId="52">
    <w:name w:val="标准文件_章标题"/>
    <w:next w:val="42"/>
    <w:qFormat/>
    <w:uiPriority w:val="0"/>
    <w:pPr>
      <w:numPr>
        <w:ilvl w:val="1"/>
        <w:numId w:val="10"/>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53">
    <w:name w:val="正文1"/>
    <w:basedOn w:val="1"/>
    <w:qFormat/>
    <w:uiPriority w:val="0"/>
    <w:pPr>
      <w:widowControl/>
    </w:pPr>
    <w:rPr>
      <w:szCs w:val="21"/>
    </w:rPr>
  </w:style>
  <w:style w:type="paragraph" w:customStyle="1" w:styleId="54">
    <w:name w:val="标准文件_一级项"/>
    <w:basedOn w:val="1"/>
    <w:qFormat/>
    <w:uiPriority w:val="0"/>
    <w:pPr>
      <w:widowControl/>
      <w:numPr>
        <w:ilvl w:val="0"/>
        <w:numId w:val="11"/>
      </w:numPr>
      <w:jc w:val="left"/>
    </w:pPr>
    <w:rPr>
      <w:rFonts w:hint="eastAsia" w:ascii="宋体"/>
      <w:kern w:val="0"/>
      <w:szCs w:val="20"/>
    </w:rPr>
  </w:style>
  <w:style w:type="paragraph" w:customStyle="1" w:styleId="55">
    <w:name w:val="标准文件_字母编号列项（一级）"/>
    <w:basedOn w:val="1"/>
    <w:qFormat/>
    <w:uiPriority w:val="0"/>
    <w:pPr>
      <w:widowControl/>
      <w:numPr>
        <w:ilvl w:val="0"/>
        <w:numId w:val="12"/>
      </w:numPr>
    </w:pPr>
    <w:rPr>
      <w:rFonts w:hint="eastAsia" w:ascii="宋体"/>
      <w:kern w:val="0"/>
      <w:szCs w:val="20"/>
    </w:rPr>
  </w:style>
  <w:style w:type="character" w:customStyle="1" w:styleId="56">
    <w:name w:val="font21"/>
    <w:basedOn w:val="14"/>
    <w:qFormat/>
    <w:uiPriority w:val="0"/>
    <w:rPr>
      <w:rFonts w:hint="eastAsia" w:ascii="宋体" w:hAnsi="宋体" w:eastAsia="宋体" w:cs="宋体"/>
      <w:color w:val="000000"/>
      <w:sz w:val="18"/>
      <w:szCs w:val="18"/>
      <w:u w:val="none"/>
    </w:rPr>
  </w:style>
  <w:style w:type="character" w:customStyle="1" w:styleId="57">
    <w:name w:val="font01"/>
    <w:basedOn w:val="14"/>
    <w:qFormat/>
    <w:uiPriority w:val="0"/>
    <w:rPr>
      <w:rFonts w:hint="eastAsia" w:ascii="宋体" w:hAnsi="宋体" w:eastAsia="宋体" w:cs="宋体"/>
      <w:color w:val="000000"/>
      <w:sz w:val="22"/>
      <w:szCs w:val="22"/>
      <w:u w:val="none"/>
    </w:rPr>
  </w:style>
  <w:style w:type="character" w:customStyle="1" w:styleId="58">
    <w:name w:val="font11"/>
    <w:basedOn w:val="14"/>
    <w:qFormat/>
    <w:uiPriority w:val="0"/>
    <w:rPr>
      <w:rFonts w:hint="eastAsia" w:ascii="仿宋_GB2312" w:eastAsia="仿宋_GB2312" w:cs="仿宋_GB2312"/>
      <w:color w:val="000000"/>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footer" Target="footer1.xml"/><Relationship Id="rId29" Type="http://schemas.openxmlformats.org/officeDocument/2006/relationships/numbering" Target="numbering.xml"/><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jpeg"/><Relationship Id="rId14" Type="http://schemas.openxmlformats.org/officeDocument/2006/relationships/image" Target="media/image10.png"/><Relationship Id="rId13" Type="http://schemas.openxmlformats.org/officeDocument/2006/relationships/image" Target="media/image9.jpe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D09871-033A-4F35-8E4C-ED14A8A99B93}">
  <ds:schemaRefs/>
</ds:datastoreItem>
</file>

<file path=docProps/app.xml><?xml version="1.0" encoding="utf-8"?>
<Properties xmlns="http://schemas.openxmlformats.org/officeDocument/2006/extended-properties" xmlns:vt="http://schemas.openxmlformats.org/officeDocument/2006/docPropsVTypes">
  <Template>Normal</Template>
  <Company>WWW.YlmF.CoM</Company>
  <Pages>20</Pages>
  <Words>9418</Words>
  <Characters>9952</Characters>
  <Lines>73</Lines>
  <Paragraphs>20</Paragraphs>
  <TotalTime>0</TotalTime>
  <ScaleCrop>false</ScaleCrop>
  <LinksUpToDate>false</LinksUpToDate>
  <CharactersWithSpaces>10037</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2024-04-27T00:06:00Z</dcterms:created>
  <dc:creator>USER</dc:creator>
  <cp:lastModifiedBy>a7990</cp:lastModifiedBy>
  <cp:lastPrinted>2019-07-10T11:21:00Z</cp:lastPrinted>
  <dcterms:modified xsi:type="dcterms:W3CDTF">2024-11-05T08:48:34Z</dcterms:modified>
  <dc:title>广西地方标准《脱氢枞酸》（征求意见稿）</dc:title>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484DF7F1BEB842158BCD0584349217B5</vt:lpwstr>
  </property>
</Properties>
</file>